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0B" w:rsidRPr="00FC3E8F" w:rsidRDefault="00925D0B" w:rsidP="00925D0B">
      <w:pPr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0D1F7" wp14:editId="1333DF68">
                <wp:simplePos x="0" y="0"/>
                <wp:positionH relativeFrom="column">
                  <wp:posOffset>3332744</wp:posOffset>
                </wp:positionH>
                <wp:positionV relativeFrom="paragraph">
                  <wp:posOffset>28683</wp:posOffset>
                </wp:positionV>
                <wp:extent cx="2360930" cy="1404620"/>
                <wp:effectExtent l="0" t="0" r="11430" b="1397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D0B" w:rsidRPr="00787BDF" w:rsidRDefault="00B5772C" w:rsidP="00925D0B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CIU - 170800073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4pt;margin-top: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N6UrP7dAAAACQEAAA8AAABkcnMvZG93bnJl&#10;di54bWxMj09Pg0AUxO8mfofNM/FmFzeAlfJoGqLXJm1NvL6yK1D3D7ILxW/vetLjZCYzvym3i9Fs&#10;VqPvnUV4XCXAlG2c7G2L8HZ6fVgD84GsJO2sQvhWHrbV7U1JhXRXe1DzMbQsllhfEEIXwlBw7ptO&#10;GfIrNygbvQ83GgpRji2XI11judFcJEnODfU2LnQ0qLpTzedxMgjTqd7Nh1pc3ue9TPf5CxnSX4j3&#10;d8tuAyyoJfyF4Rc/okMVmc5ustIzjZCJNKIHhDQDFv31c54DOyMIkT0Br0r+/0H1Aw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N6UrP7dAAAACQEAAA8AAAAAAAAAAAAAAAAAhQQAAGRy&#10;cy9kb3ducmV2LnhtbFBLBQYAAAAABAAEAPMAAACPBQAAAAA=&#10;">
                <v:textbox style="mso-fit-shape-to-text:t">
                  <w:txbxContent>
                    <w:p w:rsidR="00925D0B" w:rsidRPr="00787BDF" w:rsidRDefault="00B5772C" w:rsidP="00925D0B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CIU - 170800073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25D0B" w:rsidRPr="00FC3E8F" w:rsidRDefault="00925D0B" w:rsidP="00925D0B">
      <w:pPr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t>Informe del Primer Reporte de Avance del Proceso de Autoevaluación</w:t>
      </w: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t xml:space="preserve">ESCUELA PROFESIONAL DE   </w:t>
      </w:r>
      <w:r w:rsidR="00FC3E8F" w:rsidRPr="00FC3E8F">
        <w:rPr>
          <w:rFonts w:ascii="Arial" w:hAnsi="Arial" w:cs="Arial"/>
          <w:b/>
          <w:sz w:val="20"/>
          <w:szCs w:val="20"/>
        </w:rPr>
        <w:t>LITERATURA</w:t>
      </w:r>
      <w:r w:rsidRPr="00FC3E8F">
        <w:rPr>
          <w:rFonts w:ascii="Arial" w:hAnsi="Arial" w:cs="Arial"/>
          <w:b/>
          <w:sz w:val="20"/>
          <w:szCs w:val="20"/>
        </w:rPr>
        <w:t xml:space="preserve"> - UNMSM</w:t>
      </w: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 xml:space="preserve">Institución </w:t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Universidad Nacional Mayor de San Marcos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  <w:tc>
          <w:tcPr>
            <w:tcW w:w="5947" w:type="dxa"/>
          </w:tcPr>
          <w:p w:rsidR="00925D0B" w:rsidRPr="00FC3E8F" w:rsidRDefault="00925D0B" w:rsidP="00FC3E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 xml:space="preserve">Escuela Profesional de  </w:t>
            </w:r>
            <w:r w:rsidR="00FC3E8F" w:rsidRPr="00FC3E8F">
              <w:rPr>
                <w:rFonts w:ascii="Arial" w:hAnsi="Arial" w:cs="Arial"/>
                <w:b/>
                <w:sz w:val="20"/>
                <w:szCs w:val="20"/>
              </w:rPr>
              <w:t>Literatura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Tipo de Acreditación</w:t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Acreditación de Programa</w:t>
            </w:r>
            <w:bookmarkStart w:id="0" w:name="_GoBack"/>
            <w:bookmarkEnd w:id="0"/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 xml:space="preserve">Calle </w:t>
            </w:r>
            <w:proofErr w:type="spellStart"/>
            <w:r w:rsidRPr="00FC3E8F">
              <w:rPr>
                <w:rFonts w:ascii="Arial" w:hAnsi="Arial" w:cs="Arial"/>
                <w:b/>
                <w:sz w:val="20"/>
                <w:szCs w:val="20"/>
              </w:rPr>
              <w:t>Amézaga</w:t>
            </w:r>
            <w:proofErr w:type="spellEnd"/>
            <w:r w:rsidRPr="00FC3E8F">
              <w:rPr>
                <w:rFonts w:ascii="Arial" w:hAnsi="Arial" w:cs="Arial"/>
                <w:b/>
                <w:sz w:val="20"/>
                <w:szCs w:val="20"/>
              </w:rPr>
              <w:t xml:space="preserve"> N.° 375  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 xml:space="preserve">Lima 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Lima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tabs>
                <w:tab w:val="right" w:pos="23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Región</w:t>
            </w:r>
            <w:r w:rsidRPr="00FC3E8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Lima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Sede/ Filial</w:t>
            </w:r>
          </w:p>
        </w:tc>
        <w:tc>
          <w:tcPr>
            <w:tcW w:w="59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 xml:space="preserve">Sede principal Ciudad Universitaria </w:t>
            </w:r>
          </w:p>
        </w:tc>
      </w:tr>
      <w:tr w:rsidR="00925D0B" w:rsidRPr="00FC3E8F" w:rsidTr="004E792E">
        <w:trPr>
          <w:trHeight w:val="610"/>
        </w:trPr>
        <w:tc>
          <w:tcPr>
            <w:tcW w:w="2547" w:type="dxa"/>
          </w:tcPr>
          <w:p w:rsidR="00925D0B" w:rsidRPr="00FC3E8F" w:rsidRDefault="00925D0B" w:rsidP="004E7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Fecha de presentación</w:t>
            </w:r>
          </w:p>
        </w:tc>
        <w:tc>
          <w:tcPr>
            <w:tcW w:w="5947" w:type="dxa"/>
          </w:tcPr>
          <w:p w:rsidR="00925D0B" w:rsidRPr="00FC3E8F" w:rsidRDefault="00FC3E8F" w:rsidP="00FC3E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E8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25D0B" w:rsidRPr="00FC3E8F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Pr="00FC3E8F">
              <w:rPr>
                <w:rFonts w:ascii="Arial" w:hAnsi="Arial" w:cs="Arial"/>
                <w:b/>
                <w:sz w:val="20"/>
                <w:szCs w:val="20"/>
              </w:rPr>
              <w:t>setiembre</w:t>
            </w:r>
            <w:r w:rsidR="00925D0B" w:rsidRPr="00FC3E8F">
              <w:rPr>
                <w:rFonts w:ascii="Arial" w:hAnsi="Arial" w:cs="Arial"/>
                <w:b/>
                <w:sz w:val="20"/>
                <w:szCs w:val="20"/>
              </w:rPr>
              <w:t xml:space="preserve"> de 2017</w:t>
            </w:r>
          </w:p>
        </w:tc>
      </w:tr>
    </w:tbl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jc w:val="center"/>
        <w:rPr>
          <w:rFonts w:ascii="Arial" w:hAnsi="Arial" w:cs="Arial"/>
          <w:b/>
          <w:sz w:val="20"/>
          <w:szCs w:val="20"/>
        </w:rPr>
      </w:pPr>
    </w:p>
    <w:p w:rsidR="00925D0B" w:rsidRDefault="00925D0B" w:rsidP="00FC3E8F">
      <w:pPr>
        <w:rPr>
          <w:rFonts w:ascii="Arial" w:hAnsi="Arial" w:cs="Arial"/>
          <w:b/>
          <w:sz w:val="20"/>
          <w:szCs w:val="20"/>
        </w:rPr>
      </w:pPr>
    </w:p>
    <w:p w:rsidR="00976B6A" w:rsidRDefault="00976B6A" w:rsidP="00FC3E8F">
      <w:pPr>
        <w:rPr>
          <w:rFonts w:ascii="Arial" w:hAnsi="Arial" w:cs="Arial"/>
          <w:b/>
          <w:sz w:val="20"/>
          <w:szCs w:val="20"/>
        </w:rPr>
      </w:pPr>
    </w:p>
    <w:p w:rsidR="00976B6A" w:rsidRPr="00FC3E8F" w:rsidRDefault="00976B6A" w:rsidP="00FC3E8F">
      <w:pPr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lastRenderedPageBreak/>
        <w:t>RESUMEN</w:t>
      </w: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jc w:val="both"/>
        <w:rPr>
          <w:rFonts w:ascii="Arial" w:hAnsi="Arial" w:cs="Arial"/>
          <w:sz w:val="20"/>
          <w:szCs w:val="20"/>
        </w:rPr>
      </w:pPr>
      <w:r w:rsidRPr="00FC3E8F">
        <w:rPr>
          <w:rFonts w:ascii="Arial" w:hAnsi="Arial" w:cs="Arial"/>
          <w:sz w:val="20"/>
          <w:szCs w:val="20"/>
        </w:rPr>
        <w:t>Se ha declarado en reorganización el Comité y cambiado a los miembros qu</w:t>
      </w:r>
      <w:r w:rsidR="002172C5" w:rsidRPr="00FC3E8F">
        <w:rPr>
          <w:rFonts w:ascii="Arial" w:hAnsi="Arial" w:cs="Arial"/>
          <w:sz w:val="20"/>
          <w:szCs w:val="20"/>
        </w:rPr>
        <w:t xml:space="preserve">e no asistían a las reuniones, </w:t>
      </w:r>
      <w:r w:rsidRPr="00FC3E8F">
        <w:rPr>
          <w:rFonts w:ascii="Arial" w:hAnsi="Arial" w:cs="Arial"/>
          <w:sz w:val="20"/>
          <w:szCs w:val="20"/>
        </w:rPr>
        <w:t xml:space="preserve">se ha iniciado el acopio de información y la redacción de la matriz de autoevaluación de acuerdo a los </w:t>
      </w:r>
      <w:r w:rsidR="00FC3E8F" w:rsidRPr="00FC3E8F">
        <w:rPr>
          <w:rFonts w:ascii="Arial" w:hAnsi="Arial" w:cs="Arial"/>
          <w:sz w:val="20"/>
          <w:szCs w:val="20"/>
        </w:rPr>
        <w:t xml:space="preserve">estándares y </w:t>
      </w:r>
      <w:r w:rsidRPr="00FC3E8F">
        <w:rPr>
          <w:rFonts w:ascii="Arial" w:hAnsi="Arial" w:cs="Arial"/>
          <w:sz w:val="20"/>
          <w:szCs w:val="20"/>
        </w:rPr>
        <w:t>criterios.</w:t>
      </w: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t>DESCRIPCIÓN DE LA ACTIVIDADES DESARROLLADAS</w:t>
      </w: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t>2.1 Decisión de  inicio de la autoevaluación</w:t>
      </w:r>
    </w:p>
    <w:p w:rsidR="00925D0B" w:rsidRPr="00FC3E8F" w:rsidRDefault="00925D0B" w:rsidP="00925D0B">
      <w:pPr>
        <w:pStyle w:val="Prrafodelista"/>
        <w:ind w:left="1068"/>
        <w:jc w:val="both"/>
        <w:rPr>
          <w:rFonts w:ascii="Arial" w:hAnsi="Arial" w:cs="Arial"/>
          <w:sz w:val="20"/>
          <w:szCs w:val="20"/>
        </w:rPr>
      </w:pPr>
    </w:p>
    <w:p w:rsidR="002172C5" w:rsidRPr="00FC3E8F" w:rsidRDefault="00925D0B" w:rsidP="00925D0B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FC3E8F">
        <w:rPr>
          <w:rFonts w:ascii="Arial" w:hAnsi="Arial" w:cs="Arial"/>
          <w:sz w:val="20"/>
          <w:szCs w:val="20"/>
        </w:rPr>
        <w:t xml:space="preserve">Para dar inicio al proceso de autoevaluación para la acreditación nacional se </w:t>
      </w:r>
      <w:r w:rsidR="002172C5" w:rsidRPr="00FC3E8F">
        <w:rPr>
          <w:rFonts w:ascii="Arial" w:hAnsi="Arial" w:cs="Arial"/>
          <w:sz w:val="20"/>
          <w:szCs w:val="20"/>
        </w:rPr>
        <w:t>decidió cambiar</w:t>
      </w:r>
      <w:r w:rsidRPr="00FC3E8F">
        <w:rPr>
          <w:rFonts w:ascii="Arial" w:hAnsi="Arial" w:cs="Arial"/>
          <w:sz w:val="20"/>
          <w:szCs w:val="20"/>
        </w:rPr>
        <w:t xml:space="preserve"> </w:t>
      </w:r>
      <w:r w:rsidR="002172C5" w:rsidRPr="00FC3E8F">
        <w:rPr>
          <w:rFonts w:ascii="Arial" w:hAnsi="Arial" w:cs="Arial"/>
          <w:sz w:val="20"/>
          <w:szCs w:val="20"/>
        </w:rPr>
        <w:t>la composición d</w:t>
      </w:r>
      <w:r w:rsidRPr="00FC3E8F">
        <w:rPr>
          <w:rFonts w:ascii="Arial" w:hAnsi="Arial" w:cs="Arial"/>
          <w:sz w:val="20"/>
          <w:szCs w:val="20"/>
        </w:rPr>
        <w:t xml:space="preserve">el Comité de Calidad de la Escuela Profesional de  </w:t>
      </w:r>
      <w:r w:rsidR="002172C5" w:rsidRPr="00FC3E8F">
        <w:rPr>
          <w:rFonts w:ascii="Arial" w:hAnsi="Arial" w:cs="Arial"/>
          <w:sz w:val="20"/>
          <w:szCs w:val="20"/>
        </w:rPr>
        <w:t>Literatura</w:t>
      </w:r>
      <w:r w:rsidRPr="00FC3E8F">
        <w:rPr>
          <w:rFonts w:ascii="Arial" w:hAnsi="Arial" w:cs="Arial"/>
          <w:sz w:val="20"/>
          <w:szCs w:val="20"/>
        </w:rPr>
        <w:t xml:space="preserve">, </w:t>
      </w:r>
      <w:r w:rsidR="002172C5" w:rsidRPr="00FC3E8F">
        <w:rPr>
          <w:rFonts w:ascii="Arial" w:hAnsi="Arial" w:cs="Arial"/>
          <w:sz w:val="20"/>
          <w:szCs w:val="20"/>
        </w:rPr>
        <w:t xml:space="preserve">cuyos integrantes constaban en la </w:t>
      </w:r>
      <w:r w:rsidRPr="00FC3E8F">
        <w:rPr>
          <w:rFonts w:ascii="Arial" w:hAnsi="Arial" w:cs="Arial"/>
          <w:sz w:val="20"/>
          <w:szCs w:val="20"/>
        </w:rPr>
        <w:t xml:space="preserve"> Resolución </w:t>
      </w:r>
      <w:r w:rsidR="004D46F5" w:rsidRPr="00FC3E8F">
        <w:rPr>
          <w:rFonts w:ascii="Arial" w:hAnsi="Arial" w:cs="Arial"/>
          <w:sz w:val="20"/>
          <w:szCs w:val="20"/>
        </w:rPr>
        <w:t xml:space="preserve">Decanal </w:t>
      </w:r>
      <w:r w:rsidRPr="00FC3E8F">
        <w:rPr>
          <w:rFonts w:ascii="Arial" w:hAnsi="Arial" w:cs="Arial"/>
          <w:sz w:val="20"/>
          <w:szCs w:val="20"/>
        </w:rPr>
        <w:t xml:space="preserve">Nº 02695-R-17 del 24 de mayo de 2017. </w:t>
      </w:r>
      <w:r w:rsidR="002172C5" w:rsidRPr="00FC3E8F">
        <w:rPr>
          <w:rFonts w:ascii="Arial" w:hAnsi="Arial" w:cs="Arial"/>
          <w:sz w:val="20"/>
          <w:szCs w:val="20"/>
        </w:rPr>
        <w:t>L</w:t>
      </w:r>
      <w:r w:rsidRPr="00FC3E8F">
        <w:rPr>
          <w:rFonts w:ascii="Arial" w:hAnsi="Arial" w:cs="Arial"/>
          <w:sz w:val="20"/>
          <w:szCs w:val="20"/>
        </w:rPr>
        <w:t>a Presidenta del Comité, Dra.</w:t>
      </w:r>
      <w:r w:rsidR="002172C5" w:rsidRPr="00FC3E8F">
        <w:rPr>
          <w:rFonts w:ascii="Arial" w:hAnsi="Arial" w:cs="Arial"/>
          <w:sz w:val="20"/>
          <w:szCs w:val="20"/>
        </w:rPr>
        <w:t xml:space="preserve"> Yolanda Westphalen Rodríguez</w:t>
      </w:r>
      <w:r w:rsidRPr="00FC3E8F">
        <w:rPr>
          <w:rFonts w:ascii="Arial" w:hAnsi="Arial" w:cs="Arial"/>
          <w:sz w:val="20"/>
          <w:szCs w:val="20"/>
        </w:rPr>
        <w:t xml:space="preserve">, </w:t>
      </w:r>
      <w:r w:rsidR="002172C5" w:rsidRPr="00FC3E8F">
        <w:rPr>
          <w:rFonts w:ascii="Arial" w:hAnsi="Arial" w:cs="Arial"/>
          <w:sz w:val="20"/>
          <w:szCs w:val="20"/>
        </w:rPr>
        <w:t xml:space="preserve">envío varios correos citando a reunión a sus integrantes y, dado que algunos de ellos manifestaron que no podían mantener un compromiso de trabajo, se decidió reemplazar a varios de sus integrantes y reorganizar el equipo.   </w:t>
      </w:r>
    </w:p>
    <w:p w:rsidR="00FC3E8F" w:rsidRPr="00FC3E8F" w:rsidRDefault="00FC3E8F" w:rsidP="00FC3E8F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925D0B" w:rsidRPr="00FC3E8F" w:rsidRDefault="004D46F5" w:rsidP="00FC3E8F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t xml:space="preserve">2.2 </w:t>
      </w:r>
      <w:r w:rsidR="00925D0B" w:rsidRPr="00FC3E8F">
        <w:rPr>
          <w:rFonts w:ascii="Arial" w:hAnsi="Arial" w:cs="Arial"/>
          <w:b/>
          <w:sz w:val="20"/>
          <w:szCs w:val="20"/>
        </w:rPr>
        <w:t>Capacitación institucional</w:t>
      </w:r>
    </w:p>
    <w:p w:rsidR="00925D0B" w:rsidRPr="00FC3E8F" w:rsidRDefault="00925D0B" w:rsidP="00925D0B">
      <w:pPr>
        <w:pStyle w:val="Prrafodelista"/>
        <w:ind w:left="142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FC3E8F">
        <w:rPr>
          <w:rFonts w:ascii="Arial" w:hAnsi="Arial" w:cs="Arial"/>
          <w:sz w:val="20"/>
          <w:szCs w:val="20"/>
        </w:rPr>
        <w:t xml:space="preserve">A fin de propiciar el avance del proceso de autoevaluación, la Oficina Central de Calidad Académica y Acreditación en coordinación con la OCAA-Letras lleva a cabo un programa de acompañamiento, en este marco, se organizó la capacitación inicial acerca del Modelo de Acreditación de Programas de Estudios Universitarios de </w:t>
      </w:r>
      <w:proofErr w:type="spellStart"/>
      <w:r w:rsidRPr="00FC3E8F">
        <w:rPr>
          <w:rFonts w:ascii="Arial" w:hAnsi="Arial" w:cs="Arial"/>
          <w:sz w:val="20"/>
          <w:szCs w:val="20"/>
        </w:rPr>
        <w:t>Sineace</w:t>
      </w:r>
      <w:proofErr w:type="spellEnd"/>
      <w:r w:rsidRPr="00FC3E8F">
        <w:rPr>
          <w:rFonts w:ascii="Arial" w:hAnsi="Arial" w:cs="Arial"/>
          <w:sz w:val="20"/>
          <w:szCs w:val="20"/>
        </w:rPr>
        <w:t xml:space="preserve"> y el desarrollo de la autoevaluación dirigido a los miembros de comités de calidad de los programas de pregrado y posgrado de la Facultad de Letras y Ciencias Humanas.</w:t>
      </w:r>
    </w:p>
    <w:p w:rsidR="00925D0B" w:rsidRPr="00FC3E8F" w:rsidRDefault="004D46F5" w:rsidP="00925D0B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FC3E8F">
        <w:rPr>
          <w:rFonts w:ascii="Arial" w:hAnsi="Arial" w:cs="Arial"/>
          <w:sz w:val="20"/>
          <w:szCs w:val="20"/>
        </w:rPr>
        <w:t>La presidenta y la secretaria</w:t>
      </w:r>
      <w:r w:rsidR="00925D0B" w:rsidRPr="00FC3E8F">
        <w:rPr>
          <w:rFonts w:ascii="Arial" w:hAnsi="Arial" w:cs="Arial"/>
          <w:sz w:val="20"/>
          <w:szCs w:val="20"/>
        </w:rPr>
        <w:t xml:space="preserve"> del Comité de Calidad de </w:t>
      </w:r>
      <w:r w:rsidRPr="00FC3E8F">
        <w:rPr>
          <w:rFonts w:ascii="Arial" w:hAnsi="Arial" w:cs="Arial"/>
          <w:sz w:val="20"/>
          <w:szCs w:val="20"/>
        </w:rPr>
        <w:t>Literatura</w:t>
      </w:r>
      <w:r w:rsidR="00925D0B" w:rsidRPr="00FC3E8F">
        <w:rPr>
          <w:rFonts w:ascii="Arial" w:hAnsi="Arial" w:cs="Arial"/>
          <w:sz w:val="20"/>
          <w:szCs w:val="20"/>
        </w:rPr>
        <w:t xml:space="preserve"> participaron de </w:t>
      </w:r>
      <w:r w:rsidRPr="00FC3E8F">
        <w:rPr>
          <w:rFonts w:ascii="Arial" w:hAnsi="Arial" w:cs="Arial"/>
          <w:sz w:val="20"/>
          <w:szCs w:val="20"/>
        </w:rPr>
        <w:t>la</w:t>
      </w:r>
      <w:r w:rsidR="00925D0B" w:rsidRPr="00FC3E8F">
        <w:rPr>
          <w:rFonts w:ascii="Arial" w:hAnsi="Arial" w:cs="Arial"/>
          <w:sz w:val="20"/>
          <w:szCs w:val="20"/>
        </w:rPr>
        <w:t xml:space="preserve"> capacitación realizada el día 28 de junio, donde tomaron cuenta de los estándares, la escala de avance del proceso de autoevaluación y del formulario a utilizar para la autoevaluación.</w:t>
      </w:r>
      <w:r w:rsidR="00913CA8">
        <w:rPr>
          <w:rFonts w:ascii="Arial" w:hAnsi="Arial" w:cs="Arial"/>
          <w:sz w:val="20"/>
          <w:szCs w:val="20"/>
        </w:rPr>
        <w:t xml:space="preserve"> La presidenta participó en la reunión del 23 de agosto.</w:t>
      </w:r>
    </w:p>
    <w:p w:rsidR="00925D0B" w:rsidRPr="00FC3E8F" w:rsidRDefault="00925D0B" w:rsidP="004D46F5">
      <w:pPr>
        <w:jc w:val="both"/>
        <w:rPr>
          <w:rFonts w:ascii="Arial" w:hAnsi="Arial" w:cs="Arial"/>
          <w:sz w:val="20"/>
          <w:szCs w:val="20"/>
        </w:rPr>
      </w:pPr>
    </w:p>
    <w:p w:rsidR="00925D0B" w:rsidRPr="00FC3E8F" w:rsidRDefault="00925D0B" w:rsidP="00FC3E8F">
      <w:pPr>
        <w:ind w:left="142" w:firstLine="566"/>
        <w:jc w:val="both"/>
        <w:rPr>
          <w:rFonts w:ascii="Arial" w:hAnsi="Arial" w:cs="Arial"/>
          <w:b/>
          <w:sz w:val="20"/>
          <w:szCs w:val="20"/>
        </w:rPr>
      </w:pPr>
      <w:r w:rsidRPr="00FC3E8F">
        <w:rPr>
          <w:rFonts w:ascii="Arial" w:hAnsi="Arial" w:cs="Arial"/>
          <w:b/>
          <w:sz w:val="20"/>
          <w:szCs w:val="20"/>
        </w:rPr>
        <w:t>2.3 Avances de la autoevaluación</w:t>
      </w:r>
    </w:p>
    <w:p w:rsidR="00FC3E8F" w:rsidRPr="00FC3E8F" w:rsidRDefault="00FC3E8F" w:rsidP="00925D0B">
      <w:pPr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13CA8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FC3E8F">
        <w:rPr>
          <w:rFonts w:ascii="Arial" w:hAnsi="Arial" w:cs="Arial"/>
          <w:sz w:val="20"/>
          <w:szCs w:val="20"/>
        </w:rPr>
        <w:t xml:space="preserve">El día </w:t>
      </w:r>
      <w:r w:rsidR="004D46F5" w:rsidRPr="00FC3E8F">
        <w:rPr>
          <w:rFonts w:ascii="Arial" w:hAnsi="Arial" w:cs="Arial"/>
          <w:sz w:val="20"/>
          <w:szCs w:val="20"/>
        </w:rPr>
        <w:t>31</w:t>
      </w:r>
      <w:r w:rsidRPr="00FC3E8F">
        <w:rPr>
          <w:rFonts w:ascii="Arial" w:hAnsi="Arial" w:cs="Arial"/>
          <w:sz w:val="20"/>
          <w:szCs w:val="20"/>
        </w:rPr>
        <w:t>de agosto de 2017, se realizó la primera sesión</w:t>
      </w:r>
      <w:r w:rsidR="004D46F5" w:rsidRPr="00FC3E8F">
        <w:rPr>
          <w:rFonts w:ascii="Arial" w:hAnsi="Arial" w:cs="Arial"/>
          <w:sz w:val="20"/>
          <w:szCs w:val="20"/>
        </w:rPr>
        <w:t xml:space="preserve"> con varios integrantes del nuevo equipo</w:t>
      </w:r>
      <w:r w:rsidRPr="00FC3E8F">
        <w:rPr>
          <w:rFonts w:ascii="Arial" w:hAnsi="Arial" w:cs="Arial"/>
          <w:sz w:val="20"/>
          <w:szCs w:val="20"/>
        </w:rPr>
        <w:t xml:space="preserve">, se acordó la metodología de trabajo y se comenzó con la lectura y análisis de los estándares. </w:t>
      </w:r>
      <w:r w:rsidR="004D46F5" w:rsidRPr="00FC3E8F">
        <w:rPr>
          <w:rFonts w:ascii="Arial" w:hAnsi="Arial" w:cs="Arial"/>
          <w:sz w:val="20"/>
          <w:szCs w:val="20"/>
        </w:rPr>
        <w:t>Se asignó a cada docente la revisión de los estándares</w:t>
      </w:r>
      <w:r w:rsidRPr="00FC3E8F">
        <w:rPr>
          <w:rFonts w:ascii="Arial" w:hAnsi="Arial" w:cs="Arial"/>
          <w:sz w:val="20"/>
          <w:szCs w:val="20"/>
        </w:rPr>
        <w:t xml:space="preserve"> </w:t>
      </w:r>
      <w:r w:rsidR="004D46F5" w:rsidRPr="00FC3E8F">
        <w:rPr>
          <w:rFonts w:ascii="Arial" w:hAnsi="Arial" w:cs="Arial"/>
          <w:sz w:val="20"/>
          <w:szCs w:val="20"/>
        </w:rPr>
        <w:t xml:space="preserve">y </w:t>
      </w:r>
      <w:r w:rsidRPr="00FC3E8F">
        <w:rPr>
          <w:rFonts w:ascii="Arial" w:hAnsi="Arial" w:cs="Arial"/>
          <w:sz w:val="20"/>
          <w:szCs w:val="20"/>
        </w:rPr>
        <w:t xml:space="preserve">de los </w:t>
      </w:r>
      <w:r w:rsidR="00FC3E8F" w:rsidRPr="00FC3E8F">
        <w:rPr>
          <w:rFonts w:ascii="Arial" w:hAnsi="Arial" w:cs="Arial"/>
          <w:sz w:val="20"/>
          <w:szCs w:val="20"/>
        </w:rPr>
        <w:t>criterios asociados</w:t>
      </w:r>
      <w:r w:rsidRPr="00FC3E8F">
        <w:rPr>
          <w:rFonts w:ascii="Arial" w:hAnsi="Arial" w:cs="Arial"/>
          <w:sz w:val="20"/>
          <w:szCs w:val="20"/>
        </w:rPr>
        <w:t xml:space="preserve">. </w:t>
      </w:r>
      <w:r w:rsidR="00FC3E8F" w:rsidRPr="00FC3E8F">
        <w:rPr>
          <w:rFonts w:ascii="Arial" w:hAnsi="Arial" w:cs="Arial"/>
          <w:sz w:val="20"/>
          <w:szCs w:val="20"/>
        </w:rPr>
        <w:t xml:space="preserve">Paralelo a este trabajo se inició el acopio de la evidencia documental que debe incluirse en la matriz. </w:t>
      </w:r>
    </w:p>
    <w:p w:rsidR="00FC3E8F" w:rsidRPr="00FC3E8F" w:rsidRDefault="00FC3E8F" w:rsidP="00FC3E8F">
      <w:pPr>
        <w:ind w:left="14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5D0B" w:rsidRPr="00FC3E8F" w:rsidRDefault="00925D0B" w:rsidP="00FC3E8F">
      <w:pPr>
        <w:pStyle w:val="Prrafodelista"/>
        <w:ind w:left="1210"/>
        <w:rPr>
          <w:rFonts w:ascii="Arial" w:hAnsi="Arial" w:cs="Arial"/>
          <w:b/>
          <w:sz w:val="20"/>
          <w:szCs w:val="20"/>
        </w:rPr>
      </w:pPr>
    </w:p>
    <w:p w:rsidR="00FC3E8F" w:rsidRDefault="00FC3E8F" w:rsidP="00FC3E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5DD1">
        <w:rPr>
          <w:rFonts w:ascii="Arial" w:hAnsi="Arial" w:cs="Arial"/>
          <w:b/>
          <w:sz w:val="20"/>
          <w:szCs w:val="20"/>
        </w:rPr>
        <w:t>Yolanda Westphalen Rodríguez</w:t>
      </w:r>
    </w:p>
    <w:p w:rsidR="00FC3E8F" w:rsidRPr="00885DD1" w:rsidRDefault="00FC3E8F" w:rsidP="00FC3E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D0B" w:rsidRPr="00976B6A" w:rsidRDefault="00FC3E8F" w:rsidP="00976B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5DD1">
        <w:rPr>
          <w:rFonts w:ascii="Arial" w:hAnsi="Arial" w:cs="Arial"/>
          <w:b/>
          <w:sz w:val="20"/>
          <w:szCs w:val="20"/>
        </w:rPr>
        <w:t>PRESIDENTE DEL COMITÉ</w:t>
      </w: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925D0B">
      <w:pPr>
        <w:pStyle w:val="Prrafodelista"/>
        <w:ind w:left="1068"/>
        <w:rPr>
          <w:rFonts w:ascii="Arial" w:hAnsi="Arial" w:cs="Arial"/>
          <w:sz w:val="20"/>
          <w:szCs w:val="20"/>
        </w:rPr>
      </w:pPr>
    </w:p>
    <w:p w:rsidR="00925D0B" w:rsidRPr="00FC3E8F" w:rsidRDefault="00925D0B" w:rsidP="00FC3E8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D0B" w:rsidRPr="00FC3E8F" w:rsidRDefault="00925D0B" w:rsidP="00925D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25D0B" w:rsidRPr="00FC3E8F" w:rsidSect="00A73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1D28"/>
    <w:multiLevelType w:val="multilevel"/>
    <w:tmpl w:val="0F127D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0B"/>
    <w:rsid w:val="002172C5"/>
    <w:rsid w:val="002F35ED"/>
    <w:rsid w:val="003C2207"/>
    <w:rsid w:val="004D46F5"/>
    <w:rsid w:val="00857BDB"/>
    <w:rsid w:val="00913CA8"/>
    <w:rsid w:val="00925D0B"/>
    <w:rsid w:val="00976B6A"/>
    <w:rsid w:val="009A47F7"/>
    <w:rsid w:val="00B16B5B"/>
    <w:rsid w:val="00B5772C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0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0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Pc</cp:lastModifiedBy>
  <cp:revision>2</cp:revision>
  <dcterms:created xsi:type="dcterms:W3CDTF">2017-09-05T20:30:00Z</dcterms:created>
  <dcterms:modified xsi:type="dcterms:W3CDTF">2017-09-05T20:30:00Z</dcterms:modified>
</cp:coreProperties>
</file>