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5B" w:rsidRDefault="002E3E5B" w:rsidP="0094352A">
      <w:pPr>
        <w:pStyle w:val="Sinespaciado"/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45B17" wp14:editId="4EE77C76">
                <wp:simplePos x="0" y="0"/>
                <wp:positionH relativeFrom="column">
                  <wp:posOffset>3332744</wp:posOffset>
                </wp:positionH>
                <wp:positionV relativeFrom="paragraph">
                  <wp:posOffset>28683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28" w:rsidRPr="00787BDF" w:rsidRDefault="0019311D" w:rsidP="00787BD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CIU: 170800082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45B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4pt;margin-top: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6UrP7dAAAACQEAAA8AAABkcnMvZG93bnJl&#10;di54bWxMj09Pg0AUxO8mfofNM/FmFzeAlfJoGqLXJm1NvL6yK1D3D7ILxW/vetLjZCYzvym3i9Fs&#10;VqPvnUV4XCXAlG2c7G2L8HZ6fVgD84GsJO2sQvhWHrbV7U1JhXRXe1DzMbQsllhfEEIXwlBw7ptO&#10;GfIrNygbvQ83GgpRji2XI11judFcJEnODfU2LnQ0qLpTzedxMgjTqd7Nh1pc3ue9TPf5CxnSX4j3&#10;d8tuAyyoJfyF4Rc/okMVmc5ustIzjZCJNKIHhDQDFv31c54DOyMIkT0Br0r+/0H1Aw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N6UrP7dAAAACQEAAA8AAAAAAAAAAAAAAAAAhQQAAGRy&#10;cy9kb3ducmV2LnhtbFBLBQYAAAAABAAEAPMAAACPBQAAAAA=&#10;">
                <v:textbox style="mso-fit-shape-to-text:t">
                  <w:txbxContent>
                    <w:p w:rsidR="007E2D28" w:rsidRPr="00787BDF" w:rsidRDefault="0019311D" w:rsidP="00787BD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CIU: 170800082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55E13" w:rsidRDefault="00555E13" w:rsidP="00555E13">
      <w:pPr>
        <w:rPr>
          <w:b/>
        </w:rPr>
      </w:pPr>
    </w:p>
    <w:p w:rsidR="0019311D" w:rsidRDefault="00787BDF" w:rsidP="007E2D28">
      <w:pPr>
        <w:jc w:val="center"/>
        <w:rPr>
          <w:b/>
        </w:rPr>
      </w:pPr>
      <w:r>
        <w:rPr>
          <w:b/>
        </w:rPr>
        <w:t xml:space="preserve">Informe del </w:t>
      </w:r>
      <w:r w:rsidR="009A0FAF">
        <w:rPr>
          <w:b/>
        </w:rPr>
        <w:t>Segundo</w:t>
      </w:r>
      <w:r w:rsidRPr="007E2D28">
        <w:rPr>
          <w:b/>
        </w:rPr>
        <w:t xml:space="preserve"> Reporte de Avance del Proceso </w:t>
      </w:r>
      <w:r w:rsidR="00652707" w:rsidRPr="007E2D28">
        <w:rPr>
          <w:b/>
        </w:rPr>
        <w:t xml:space="preserve">de </w:t>
      </w:r>
      <w:r w:rsidRPr="007E2D28">
        <w:rPr>
          <w:b/>
        </w:rPr>
        <w:t>Autoevaluación</w:t>
      </w:r>
    </w:p>
    <w:p w:rsidR="00787BDF" w:rsidRDefault="00787BDF" w:rsidP="007E2D28">
      <w:pPr>
        <w:jc w:val="center"/>
        <w:rPr>
          <w:b/>
        </w:rPr>
      </w:pPr>
      <w:r>
        <w:rPr>
          <w:b/>
        </w:rPr>
        <w:t xml:space="preserve">ESCUELA PROFESIONAL DE </w:t>
      </w:r>
      <w:r w:rsidR="008A07EA">
        <w:rPr>
          <w:b/>
        </w:rPr>
        <w:t xml:space="preserve"> BIBLIOTECOLOGÍA Y CIENCIAS DE LA INFORMACIÓN </w:t>
      </w:r>
      <w:r w:rsidR="0019311D">
        <w:rPr>
          <w:b/>
        </w:rPr>
        <w:t xml:space="preserve">- </w:t>
      </w:r>
      <w:r>
        <w:rPr>
          <w:b/>
        </w:rPr>
        <w:t>UNMSM</w:t>
      </w:r>
    </w:p>
    <w:p w:rsidR="002E3E5B" w:rsidRDefault="002E3E5B" w:rsidP="007E2D28">
      <w:pPr>
        <w:jc w:val="center"/>
        <w:rPr>
          <w:b/>
        </w:rPr>
      </w:pPr>
    </w:p>
    <w:p w:rsidR="002E3E5B" w:rsidRPr="007E2D28" w:rsidRDefault="002E3E5B" w:rsidP="007E2D28">
      <w:pPr>
        <w:jc w:val="center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7E2D2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Institución 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Universidad Nacional Mayor de San Marcos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Programa</w:t>
            </w:r>
          </w:p>
        </w:tc>
        <w:tc>
          <w:tcPr>
            <w:tcW w:w="5947" w:type="dxa"/>
          </w:tcPr>
          <w:p w:rsidR="007E2D28" w:rsidRPr="002E3E5B" w:rsidRDefault="00E26FCD" w:rsidP="001E32A4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Escuela Profesional de </w:t>
            </w:r>
            <w:r w:rsidR="001E32A4">
              <w:rPr>
                <w:b/>
                <w:sz w:val="24"/>
              </w:rPr>
              <w:t>Bibliotecología y Ciencias de la Información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Tipo de Acreditación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Acreditación de Programa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Dirección</w:t>
            </w:r>
          </w:p>
        </w:tc>
        <w:tc>
          <w:tcPr>
            <w:tcW w:w="5947" w:type="dxa"/>
          </w:tcPr>
          <w:p w:rsidR="007E2D28" w:rsidRPr="002E3E5B" w:rsidRDefault="008A07EA" w:rsidP="00E26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Calle Amézaga N.° 375 </w:t>
            </w:r>
            <w:r w:rsidR="00E26FCD" w:rsidRPr="002E3E5B">
              <w:rPr>
                <w:b/>
                <w:sz w:val="24"/>
              </w:rPr>
              <w:t xml:space="preserve"> 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Distrito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Lima 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Provincia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555E13">
            <w:pPr>
              <w:tabs>
                <w:tab w:val="right" w:pos="2331"/>
              </w:tabs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Región</w:t>
            </w:r>
            <w:r w:rsidR="00555E13" w:rsidRPr="002E3E5B">
              <w:rPr>
                <w:b/>
                <w:sz w:val="24"/>
              </w:rPr>
              <w:tab/>
            </w:r>
          </w:p>
        </w:tc>
        <w:tc>
          <w:tcPr>
            <w:tcW w:w="5947" w:type="dxa"/>
          </w:tcPr>
          <w:p w:rsidR="007E2D28" w:rsidRPr="002E3E5B" w:rsidRDefault="002E3E5B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Sede/ Filial</w:t>
            </w:r>
          </w:p>
        </w:tc>
        <w:tc>
          <w:tcPr>
            <w:tcW w:w="5947" w:type="dxa"/>
          </w:tcPr>
          <w:p w:rsidR="007E2D28" w:rsidRPr="002E3E5B" w:rsidRDefault="00E26FCD" w:rsidP="00E26FCD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Sede principal Ciudad Universitaria </w:t>
            </w:r>
          </w:p>
        </w:tc>
      </w:tr>
      <w:tr w:rsidR="00595F18" w:rsidRPr="002E3E5B" w:rsidTr="002E3E5B">
        <w:trPr>
          <w:trHeight w:val="610"/>
        </w:trPr>
        <w:tc>
          <w:tcPr>
            <w:tcW w:w="2547" w:type="dxa"/>
          </w:tcPr>
          <w:p w:rsidR="00595F18" w:rsidRPr="002E3E5B" w:rsidRDefault="00555E13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Fecha de presentació</w:t>
            </w:r>
            <w:r w:rsidR="00595F18" w:rsidRPr="002E3E5B">
              <w:rPr>
                <w:b/>
                <w:sz w:val="24"/>
              </w:rPr>
              <w:t>n</w:t>
            </w:r>
          </w:p>
        </w:tc>
        <w:tc>
          <w:tcPr>
            <w:tcW w:w="5947" w:type="dxa"/>
          </w:tcPr>
          <w:p w:rsidR="00595F18" w:rsidRPr="002E3E5B" w:rsidRDefault="009A0FAF" w:rsidP="000C3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384F">
              <w:rPr>
                <w:b/>
                <w:sz w:val="24"/>
              </w:rPr>
              <w:t>1</w:t>
            </w:r>
            <w:r w:rsidR="00505A38">
              <w:rPr>
                <w:b/>
                <w:sz w:val="24"/>
              </w:rPr>
              <w:t xml:space="preserve"> de </w:t>
            </w:r>
            <w:r>
              <w:rPr>
                <w:b/>
                <w:sz w:val="24"/>
              </w:rPr>
              <w:t>abril d</w:t>
            </w:r>
            <w:r w:rsidR="000C384F">
              <w:rPr>
                <w:b/>
                <w:sz w:val="24"/>
              </w:rPr>
              <w:t>e 2018</w:t>
            </w:r>
          </w:p>
        </w:tc>
      </w:tr>
    </w:tbl>
    <w:p w:rsidR="00595F18" w:rsidRDefault="00595F18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7E2D28" w:rsidRDefault="00595F18" w:rsidP="00595F18">
      <w:pPr>
        <w:pStyle w:val="Prrafodelista"/>
        <w:numPr>
          <w:ilvl w:val="0"/>
          <w:numId w:val="1"/>
        </w:numPr>
        <w:rPr>
          <w:b/>
        </w:rPr>
      </w:pPr>
      <w:r w:rsidRPr="00595F18">
        <w:rPr>
          <w:b/>
        </w:rPr>
        <w:t>RESUMEN</w:t>
      </w:r>
    </w:p>
    <w:p w:rsidR="00555E13" w:rsidRDefault="00555E13" w:rsidP="00595F18">
      <w:pPr>
        <w:pStyle w:val="Prrafodelista"/>
        <w:ind w:left="1068"/>
      </w:pPr>
    </w:p>
    <w:p w:rsidR="009A0FAF" w:rsidRDefault="00582C9C" w:rsidP="0019311D">
      <w:pPr>
        <w:pStyle w:val="Prrafodelista"/>
        <w:ind w:left="1068"/>
        <w:jc w:val="both"/>
      </w:pPr>
      <w:r>
        <w:t xml:space="preserve">Se ha trabajado los 34 estándares con sus respectivos criterios, </w:t>
      </w:r>
      <w:r w:rsidR="009A0FAF">
        <w:t>de acuerdo a la nueva matriz solicitada por el SINEACE; unidad responsable, evidencia inicial, evidencias, garantía, respaldo, acciones de mejora, justificación de acciones, avance de acciones, medición de impactos, medición de impactos, justificación de logros, objeción y nivel alcanzado.</w:t>
      </w:r>
    </w:p>
    <w:p w:rsidR="009A0FAF" w:rsidRDefault="009A0FAF" w:rsidP="0019311D">
      <w:pPr>
        <w:pStyle w:val="Prrafodelista"/>
        <w:ind w:left="1068"/>
        <w:jc w:val="both"/>
      </w:pPr>
    </w:p>
    <w:p w:rsidR="00E26FCD" w:rsidRPr="00595F18" w:rsidRDefault="00E26FCD" w:rsidP="00595F18">
      <w:pPr>
        <w:pStyle w:val="Prrafodelista"/>
        <w:ind w:left="1068"/>
      </w:pPr>
    </w:p>
    <w:p w:rsidR="00595F18" w:rsidRDefault="00724787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CONTINUACIÓN DE </w:t>
      </w:r>
      <w:r w:rsidR="00595F18">
        <w:rPr>
          <w:b/>
        </w:rPr>
        <w:t>LA</w:t>
      </w:r>
      <w:r>
        <w:rPr>
          <w:b/>
        </w:rPr>
        <w:t>S</w:t>
      </w:r>
      <w:r w:rsidR="00595F18">
        <w:rPr>
          <w:b/>
        </w:rPr>
        <w:t xml:space="preserve"> ACTIVIDADES DESARROLLADAS</w:t>
      </w:r>
      <w:r>
        <w:rPr>
          <w:b/>
        </w:rPr>
        <w:t xml:space="preserve"> (2017 – 2018)</w:t>
      </w:r>
    </w:p>
    <w:p w:rsidR="00555E13" w:rsidRDefault="00555E13" w:rsidP="00555E13">
      <w:pPr>
        <w:pStyle w:val="Prrafodelista"/>
        <w:ind w:left="1068"/>
      </w:pPr>
    </w:p>
    <w:p w:rsidR="00FD6598" w:rsidRPr="0019311D" w:rsidRDefault="00FD6598" w:rsidP="0019311D">
      <w:pPr>
        <w:ind w:firstLine="708"/>
        <w:jc w:val="both"/>
        <w:rPr>
          <w:b/>
        </w:rPr>
      </w:pPr>
      <w:r w:rsidRPr="0019311D">
        <w:rPr>
          <w:b/>
        </w:rPr>
        <w:t xml:space="preserve">2.1 </w:t>
      </w:r>
      <w:r w:rsidR="00724787">
        <w:rPr>
          <w:b/>
        </w:rPr>
        <w:t xml:space="preserve">Proceso de acompañamiento de </w:t>
      </w:r>
      <w:r w:rsidR="00B3177C">
        <w:rPr>
          <w:b/>
        </w:rPr>
        <w:t>la a</w:t>
      </w:r>
      <w:r w:rsidRPr="0019311D">
        <w:rPr>
          <w:b/>
        </w:rPr>
        <w:t>utoevaluación</w:t>
      </w:r>
    </w:p>
    <w:p w:rsidR="007E4F44" w:rsidRDefault="00414015" w:rsidP="007E4F44">
      <w:pPr>
        <w:pStyle w:val="Prrafodelista"/>
        <w:ind w:left="709" w:firstLine="707"/>
        <w:jc w:val="both"/>
      </w:pPr>
      <w:r>
        <w:t xml:space="preserve">A partir del segundo semestre del año 2017, se intensificaron las acciones, tanto desde la OCCA Central en coordinación con la Oficina de Calidad de la FLCCHH. Es así que a continuación se detalla cada una de ellas. </w:t>
      </w:r>
      <w:r w:rsidR="007E4F44">
        <w:t>El 1</w:t>
      </w:r>
      <w:r w:rsidR="0029603E">
        <w:t xml:space="preserve">9, 26 y 29 de </w:t>
      </w:r>
      <w:r w:rsidR="007E4F44">
        <w:t>setiembre, se realiza el taller organizado por la Oficina Calidad Académica y Acreditación  de la Facultad de Letras (OCCA – Letras) brinda el taller de uso de plataforma Classroom y uso de archivos</w:t>
      </w:r>
      <w:r w:rsidR="00153F1B">
        <w:t xml:space="preserve"> (</w:t>
      </w:r>
      <w:r w:rsidR="0029603E">
        <w:t xml:space="preserve">Enviado vía email </w:t>
      </w:r>
      <w:r w:rsidR="005B2E78">
        <w:t xml:space="preserve">el 18 de setiembre desde la </w:t>
      </w:r>
      <w:r w:rsidR="0029603E">
        <w:t>OCCAA – Letras)</w:t>
      </w:r>
      <w:r w:rsidR="007E4F44">
        <w:t xml:space="preserve">. </w:t>
      </w:r>
    </w:p>
    <w:p w:rsidR="007E4F44" w:rsidRDefault="007E4F44" w:rsidP="007E4F44">
      <w:pPr>
        <w:pStyle w:val="Prrafodelista"/>
        <w:ind w:left="709" w:firstLine="707"/>
        <w:jc w:val="both"/>
      </w:pPr>
    </w:p>
    <w:p w:rsidR="007E4F44" w:rsidRDefault="007E4F44" w:rsidP="007E4F44">
      <w:pPr>
        <w:pStyle w:val="Prrafodelista"/>
        <w:ind w:left="709" w:firstLine="707"/>
        <w:jc w:val="both"/>
      </w:pPr>
      <w:r>
        <w:t>El 03 de octubre, la O</w:t>
      </w:r>
      <w:r w:rsidR="004125C6">
        <w:t>CCA – Letras convoca a cuatro</w:t>
      </w:r>
      <w:r>
        <w:t xml:space="preserve"> talleres que se realizarán el 11, 2</w:t>
      </w:r>
      <w:r w:rsidR="0029603E">
        <w:t>5</w:t>
      </w:r>
      <w:r>
        <w:t xml:space="preserve"> de octubre y el 08 y 2</w:t>
      </w:r>
      <w:r w:rsidR="0029603E">
        <w:t>2</w:t>
      </w:r>
      <w:r>
        <w:t xml:space="preserve"> de noviembre</w:t>
      </w:r>
      <w:r w:rsidR="00153F1B">
        <w:t xml:space="preserve"> </w:t>
      </w:r>
      <w:r w:rsidR="00153F1B" w:rsidRPr="000D0D86">
        <w:t>(</w:t>
      </w:r>
      <w:r w:rsidR="000D0D86" w:rsidRPr="000D0D86">
        <w:t>Email enviado el 19 de octubre</w:t>
      </w:r>
      <w:r w:rsidR="005B2E78">
        <w:t xml:space="preserve"> desde la OCCAA – Letras</w:t>
      </w:r>
      <w:r w:rsidR="00153F1B" w:rsidRPr="000D0D86">
        <w:t>)</w:t>
      </w:r>
      <w:r w:rsidRPr="000D0D86">
        <w:t>.</w:t>
      </w:r>
      <w:r>
        <w:t xml:space="preserve">  El 22 de noviembre se realiza el último taller donde se presenta la nueva matriz con los 12 criterios a ser presentados.    </w:t>
      </w:r>
    </w:p>
    <w:p w:rsidR="007E4F44" w:rsidRDefault="007E4F44" w:rsidP="007E4F44">
      <w:pPr>
        <w:pStyle w:val="Prrafodelista"/>
        <w:ind w:left="709" w:firstLine="707"/>
        <w:jc w:val="both"/>
      </w:pPr>
    </w:p>
    <w:p w:rsidR="008C37E9" w:rsidRDefault="007E4F44" w:rsidP="007E4F44">
      <w:pPr>
        <w:pStyle w:val="Prrafodelista"/>
        <w:ind w:left="709" w:firstLine="707"/>
        <w:jc w:val="both"/>
      </w:pPr>
      <w:r>
        <w:t>En respuesta a</w:t>
      </w:r>
      <w:r w:rsidR="006E4536">
        <w:t xml:space="preserve"> la solicitud de la OCCA – Central y de Letras la Presidenta del Comité </w:t>
      </w:r>
      <w:r w:rsidR="00517C00">
        <w:t>Dra. Rosalía Quiroz</w:t>
      </w:r>
      <w:r w:rsidR="006E4536">
        <w:t xml:space="preserve"> solicita a todo el Comité de Calidad de Bibliotecología que </w:t>
      </w:r>
      <w:r w:rsidR="006E41EF">
        <w:t xml:space="preserve">completen </w:t>
      </w:r>
      <w:r w:rsidR="006E4536">
        <w:t xml:space="preserve">la nueva matriz. </w:t>
      </w:r>
      <w:r w:rsidR="009D22F9">
        <w:t xml:space="preserve">Para el 07 de diciembre (RD N°1276-D-FLCH-17) la responsabilidad del Comité de Calidad recae sobre la Dra. Elizabeth Huisa Veria, quien continúa las labores con las fechas pactadas para </w:t>
      </w:r>
      <w:r w:rsidR="00096E08">
        <w:t>el</w:t>
      </w:r>
      <w:r w:rsidR="006E41EF">
        <w:t xml:space="preserve"> 13, 18 y 21 de diciembre</w:t>
      </w:r>
      <w:r w:rsidR="006E4536">
        <w:t xml:space="preserve"> con el acompañamiento del asesor Edgar Herrera de la OCCA Central.</w:t>
      </w:r>
      <w:r w:rsidR="00517C00">
        <w:t xml:space="preserve">  En esas fechas se volvió a explicar cada uno de los criterios solicitados y se acordó que se retomaría el envío de la nueva matriz para el </w:t>
      </w:r>
      <w:r w:rsidR="008C37E9">
        <w:t>23 de enero. Para no afectar con el desarrollo del trabajo se pactó reunirse en</w:t>
      </w:r>
      <w:r w:rsidR="00171E99">
        <w:t xml:space="preserve"> la Municipalidad de San Borja, fecha en la que se corrige todo los factores entregados. Para </w:t>
      </w:r>
      <w:r w:rsidR="009D22F9">
        <w:t>e</w:t>
      </w:r>
      <w:r w:rsidR="00171E99">
        <w:t xml:space="preserve">l 06 de febrero se entregó la nueva matriz al asesor Herrera para que lo revise y entregue las observaciones. </w:t>
      </w:r>
    </w:p>
    <w:p w:rsidR="001F606B" w:rsidRDefault="001F606B" w:rsidP="007E4F44">
      <w:pPr>
        <w:pStyle w:val="Prrafodelista"/>
        <w:ind w:left="709" w:firstLine="707"/>
        <w:jc w:val="both"/>
      </w:pPr>
    </w:p>
    <w:p w:rsidR="001F606B" w:rsidRDefault="00075F2F" w:rsidP="0075759E">
      <w:pPr>
        <w:pStyle w:val="Prrafodelista"/>
        <w:ind w:left="709" w:firstLine="707"/>
        <w:jc w:val="both"/>
      </w:pPr>
      <w:r>
        <w:t xml:space="preserve">Al asesor se le entregó los avances para ser corregidos, quien </w:t>
      </w:r>
      <w:r w:rsidR="004125C6">
        <w:t xml:space="preserve">a su vez preparó </w:t>
      </w:r>
      <w:r>
        <w:t xml:space="preserve">un taller para las </w:t>
      </w:r>
      <w:r w:rsidR="004125C6">
        <w:t>Es</w:t>
      </w:r>
      <w:r>
        <w:t>cuelas</w:t>
      </w:r>
      <w:r w:rsidR="004125C6">
        <w:t xml:space="preserve"> Profesionales</w:t>
      </w:r>
      <w:r>
        <w:t xml:space="preserve"> de Lingüística y Bibliotecología</w:t>
      </w:r>
      <w:r w:rsidR="004125C6">
        <w:t xml:space="preserve"> y Ciencias de la Información</w:t>
      </w:r>
      <w:r>
        <w:t xml:space="preserve"> el 13 de febrero</w:t>
      </w:r>
      <w:r w:rsidR="00BF19A9">
        <w:t xml:space="preserve"> en donde brindó las correcciones</w:t>
      </w:r>
      <w:r>
        <w:t xml:space="preserve">.  El comité se comprometió entregarlo corregido para finales del mes. Es así que el </w:t>
      </w:r>
      <w:r w:rsidR="0075759E">
        <w:t>20</w:t>
      </w:r>
      <w:r>
        <w:t xml:space="preserve"> de marzo se entrega </w:t>
      </w:r>
      <w:r w:rsidR="0075759E">
        <w:t xml:space="preserve">la matriz corregida </w:t>
      </w:r>
      <w:r>
        <w:t xml:space="preserve">a la OCCA </w:t>
      </w:r>
      <w:r w:rsidR="0075759E">
        <w:t>Central</w:t>
      </w:r>
      <w:r>
        <w:t xml:space="preserve">. Paralelamente, el </w:t>
      </w:r>
      <w:r w:rsidR="00AE732D">
        <w:t xml:space="preserve">20 de febrero se integra 6 instituciones: Colegio de Bibliotecólogos del Perú, Biblioteca Nacional del Perú, Archivo General de la Nación, Consejo Nacional de Ciencia e Innovación Tecnológica (Concytec), Ministerio de Educación (Dirección General de Educación Básica Regular y Casa de la Literatura), Ministerio de Cultura (Dirección General de </w:t>
      </w:r>
      <w:r w:rsidR="00AE732D">
        <w:lastRenderedPageBreak/>
        <w:t xml:space="preserve">Industrias Culturales y Artes)  </w:t>
      </w:r>
      <w:r w:rsidR="00096E08">
        <w:t xml:space="preserve">el producto que se obtiene es el “Acta de Comité Interno de Calidad” </w:t>
      </w:r>
    </w:p>
    <w:p w:rsidR="00826406" w:rsidRDefault="00826406" w:rsidP="007E4F44">
      <w:pPr>
        <w:pStyle w:val="Prrafodelista"/>
        <w:ind w:left="709" w:firstLine="707"/>
        <w:jc w:val="both"/>
      </w:pPr>
    </w:p>
    <w:p w:rsidR="006975DB" w:rsidRDefault="006975DB" w:rsidP="007E4F44">
      <w:pPr>
        <w:pStyle w:val="Prrafodelista"/>
        <w:ind w:left="709" w:firstLine="707"/>
        <w:jc w:val="both"/>
      </w:pPr>
      <w:r>
        <w:t>El 03 de abril, se coordina los temas que se tratarían con los Grupos de Interés: Mecanismos de vinculación, oferta académica, expectativas de los egresados, competencias a desarrollar, demanda social y la empleabilidad.</w:t>
      </w:r>
      <w:r w:rsidR="00A463B9">
        <w:t xml:space="preserve"> Fecha que se pactó la reunión es el 18 de abril 10:30am. </w:t>
      </w:r>
    </w:p>
    <w:p w:rsidR="00826406" w:rsidRDefault="006975DB" w:rsidP="007E4F44">
      <w:pPr>
        <w:pStyle w:val="Prrafodelista"/>
        <w:ind w:left="709" w:firstLine="707"/>
        <w:jc w:val="both"/>
      </w:pPr>
      <w:r>
        <w:t xml:space="preserve"> </w:t>
      </w:r>
    </w:p>
    <w:p w:rsidR="006975DB" w:rsidRDefault="006975DB" w:rsidP="007E4F44">
      <w:pPr>
        <w:pStyle w:val="Prrafodelista"/>
        <w:ind w:left="709" w:firstLine="707"/>
        <w:jc w:val="both"/>
      </w:pPr>
    </w:p>
    <w:p w:rsidR="00FD6598" w:rsidRDefault="00A463B9" w:rsidP="00B3177C">
      <w:pPr>
        <w:pStyle w:val="Prrafodelista"/>
        <w:numPr>
          <w:ilvl w:val="1"/>
          <w:numId w:val="1"/>
        </w:numPr>
        <w:ind w:left="709" w:firstLine="0"/>
        <w:rPr>
          <w:b/>
        </w:rPr>
      </w:pPr>
      <w:r>
        <w:rPr>
          <w:b/>
        </w:rPr>
        <w:t>Acompañamiento permanente</w:t>
      </w:r>
    </w:p>
    <w:p w:rsidR="00FD6598" w:rsidRDefault="00FD6598" w:rsidP="0019311D">
      <w:pPr>
        <w:ind w:left="708" w:firstLine="708"/>
        <w:jc w:val="both"/>
      </w:pPr>
      <w:r>
        <w:t xml:space="preserve">A fin de propiciar el avance del proceso de autoevaluación, la Oficina Central de Calidad Académica y Acreditación en coordinación con la OCAA-Letras lleva a cabo un programa de acompañamiento, en este marco, se organizó </w:t>
      </w:r>
      <w:r w:rsidR="007D06C5">
        <w:t xml:space="preserve">cuatro </w:t>
      </w:r>
      <w:r w:rsidR="00ED22D0">
        <w:t xml:space="preserve">talleres </w:t>
      </w:r>
      <w:r>
        <w:t>del Modelo de Acreditación de Programas de Estudios Universitarios de Sineace y el desarrollo de la autoevaluación dirigido a los miembros de comités de calidad de los programas de pregrado y posgrado de la Facultad de Letras y Ciencias Humanas.</w:t>
      </w:r>
    </w:p>
    <w:p w:rsidR="00D56AA1" w:rsidRDefault="00FD6598" w:rsidP="0019311D">
      <w:pPr>
        <w:ind w:left="708" w:firstLine="708"/>
        <w:jc w:val="both"/>
      </w:pPr>
      <w:r>
        <w:t xml:space="preserve">Los miembros del Comité de Calidad de la Escuela de </w:t>
      </w:r>
      <w:r w:rsidR="00DB764C">
        <w:t xml:space="preserve">Bibliotecología y Ciencias de la Información </w:t>
      </w:r>
      <w:r>
        <w:t>partici</w:t>
      </w:r>
      <w:r w:rsidR="00D56AA1">
        <w:t>paron de est</w:t>
      </w:r>
      <w:r>
        <w:t>a capacitación</w:t>
      </w:r>
      <w:r w:rsidR="00ED22D0">
        <w:t xml:space="preserve"> realizada </w:t>
      </w:r>
      <w:r w:rsidR="00DB764C">
        <w:t>l</w:t>
      </w:r>
      <w:r w:rsidR="00ED22D0">
        <w:t xml:space="preserve">os </w:t>
      </w:r>
      <w:r w:rsidR="00DB764C">
        <w:t>día</w:t>
      </w:r>
      <w:r w:rsidR="00ED22D0">
        <w:t>s</w:t>
      </w:r>
      <w:r w:rsidR="00DB764C">
        <w:t xml:space="preserve"> </w:t>
      </w:r>
      <w:r w:rsidR="00ED22D0">
        <w:t>1</w:t>
      </w:r>
      <w:r w:rsidR="00BE7F9C">
        <w:t>1</w:t>
      </w:r>
      <w:r w:rsidR="00ED22D0">
        <w:t>, 2</w:t>
      </w:r>
      <w:r w:rsidR="00BE7F9C">
        <w:t>5</w:t>
      </w:r>
      <w:r w:rsidR="00ED22D0">
        <w:t xml:space="preserve"> octubre y 8</w:t>
      </w:r>
      <w:r w:rsidR="002701B2">
        <w:t xml:space="preserve"> y</w:t>
      </w:r>
      <w:r w:rsidR="00ED22D0">
        <w:t xml:space="preserve"> 22 de noviembre</w:t>
      </w:r>
      <w:r w:rsidR="00D732AB">
        <w:t xml:space="preserve">, </w:t>
      </w:r>
      <w:r w:rsidR="00D56AA1">
        <w:t xml:space="preserve">donde </w:t>
      </w:r>
      <w:r w:rsidR="00D732AB">
        <w:t xml:space="preserve">tomaron cuenta </w:t>
      </w:r>
      <w:r w:rsidR="00D56AA1">
        <w:t>de los estándares,</w:t>
      </w:r>
      <w:r w:rsidR="00D732AB">
        <w:t xml:space="preserve"> la escala de avance</w:t>
      </w:r>
      <w:r w:rsidR="00D56AA1">
        <w:t xml:space="preserve"> del proceso de autoevaluación y del </w:t>
      </w:r>
      <w:r w:rsidR="00ED22D0">
        <w:t xml:space="preserve">nuevo </w:t>
      </w:r>
      <w:r w:rsidR="00D56AA1">
        <w:t>formulario a utilizar para la autoevaluación.</w:t>
      </w:r>
    </w:p>
    <w:p w:rsidR="0019311D" w:rsidRDefault="0019311D" w:rsidP="0019311D">
      <w:pPr>
        <w:ind w:left="708" w:firstLine="708"/>
        <w:jc w:val="both"/>
      </w:pPr>
    </w:p>
    <w:p w:rsidR="00D56AA1" w:rsidRPr="00D56AA1" w:rsidRDefault="00B3177C" w:rsidP="002701B2">
      <w:pPr>
        <w:ind w:left="142" w:firstLine="567"/>
        <w:jc w:val="both"/>
        <w:rPr>
          <w:b/>
        </w:rPr>
      </w:pPr>
      <w:r>
        <w:rPr>
          <w:b/>
        </w:rPr>
        <w:t xml:space="preserve">2.3 </w:t>
      </w:r>
      <w:r w:rsidR="002701B2">
        <w:rPr>
          <w:b/>
        </w:rPr>
        <w:tab/>
      </w:r>
      <w:r>
        <w:rPr>
          <w:b/>
        </w:rPr>
        <w:t>Avances de la a</w:t>
      </w:r>
      <w:r w:rsidR="00D56AA1" w:rsidRPr="00D56AA1">
        <w:rPr>
          <w:b/>
        </w:rPr>
        <w:t>utoevaluación</w:t>
      </w:r>
    </w:p>
    <w:p w:rsidR="008F71DF" w:rsidRDefault="00D56AA1" w:rsidP="00C77128">
      <w:pPr>
        <w:ind w:left="709" w:firstLine="708"/>
        <w:jc w:val="both"/>
      </w:pPr>
      <w:r>
        <w:t xml:space="preserve">Para el trabajo del Comité de Calidad se </w:t>
      </w:r>
      <w:r w:rsidR="00D732AB">
        <w:t>acord</w:t>
      </w:r>
      <w:r w:rsidR="00E7101F">
        <w:t xml:space="preserve">ó </w:t>
      </w:r>
      <w:r>
        <w:t>realiza</w:t>
      </w:r>
      <w:r w:rsidR="00E7101F">
        <w:t>r</w:t>
      </w:r>
      <w:r w:rsidR="002A24DD">
        <w:t xml:space="preserve"> </w:t>
      </w:r>
      <w:r w:rsidR="008F71DF">
        <w:t xml:space="preserve">reuniones periódicas </w:t>
      </w:r>
      <w:r w:rsidR="00767FE6">
        <w:t>debido a</w:t>
      </w:r>
      <w:r w:rsidR="00B85F1B">
        <w:t>l cambio de la matriz</w:t>
      </w:r>
      <w:r w:rsidR="00767FE6">
        <w:t xml:space="preserve"> que se informó el 22 de </w:t>
      </w:r>
      <w:r w:rsidR="00BE7F9C">
        <w:t>noviembre</w:t>
      </w:r>
      <w:r w:rsidR="00B85F1B">
        <w:t xml:space="preserve">. Para </w:t>
      </w:r>
      <w:r w:rsidR="00A2560B">
        <w:t xml:space="preserve">desarrollar la nueva matriz </w:t>
      </w:r>
      <w:r w:rsidR="00B85F1B">
        <w:t xml:space="preserve">se pactó </w:t>
      </w:r>
      <w:r w:rsidR="008F71DF">
        <w:t>los días 13, 18 y 21 de diciembre</w:t>
      </w:r>
      <w:r w:rsidR="00C117C0">
        <w:t>. E</w:t>
      </w:r>
      <w:r w:rsidR="00A2560B">
        <w:t xml:space="preserve">sta </w:t>
      </w:r>
      <w:r w:rsidR="00B85F1B">
        <w:t xml:space="preserve">revisión </w:t>
      </w:r>
      <w:r w:rsidR="00A2560B">
        <w:t>estuvo a c</w:t>
      </w:r>
      <w:r w:rsidR="00B85F1B">
        <w:t>argo del psicólogo Edgar Herrera</w:t>
      </w:r>
      <w:r w:rsidR="00C117C0">
        <w:t>,</w:t>
      </w:r>
      <w:r w:rsidR="008A3DE0">
        <w:t xml:space="preserve"> asesor de la OCCAA C</w:t>
      </w:r>
      <w:r w:rsidR="00B85F1B">
        <w:t xml:space="preserve">entral. </w:t>
      </w:r>
      <w:r w:rsidR="008F71DF">
        <w:t xml:space="preserve"> </w:t>
      </w:r>
    </w:p>
    <w:p w:rsidR="000F1354" w:rsidRDefault="001812E1" w:rsidP="0045503E">
      <w:pPr>
        <w:ind w:left="709" w:firstLine="708"/>
        <w:jc w:val="both"/>
      </w:pPr>
      <w:r>
        <w:t>Luego de la reunión de diciembre se coordinó terminar</w:t>
      </w:r>
      <w:r w:rsidR="00136D0C">
        <w:t xml:space="preserve"> </w:t>
      </w:r>
      <w:r>
        <w:t>l</w:t>
      </w:r>
      <w:r w:rsidR="00136D0C">
        <w:t xml:space="preserve">a matriz </w:t>
      </w:r>
      <w:r w:rsidR="007D06C5">
        <w:t xml:space="preserve">el 23 de enero, </w:t>
      </w:r>
      <w:r w:rsidR="004C6C2C">
        <w:t xml:space="preserve">fecha en que todos los miembros entregaron individualmente sus estándares. Sin embargo, luego de este </w:t>
      </w:r>
      <w:r w:rsidR="007D06C5">
        <w:t xml:space="preserve">trabajo individual, </w:t>
      </w:r>
      <w:r w:rsidR="0045503E">
        <w:t>los miembros del Comité trabajaron</w:t>
      </w:r>
      <w:r w:rsidR="000F1354">
        <w:t xml:space="preserve"> en conjunto llegando a un consenso. El 06 de febrero se entregó al asesor para que lo revise y presente las observaciones. Es así que el producto final fue la matriz corregida que se presentó a la OCCAA </w:t>
      </w:r>
      <w:r w:rsidR="00FE69AB">
        <w:t>C</w:t>
      </w:r>
      <w:r w:rsidR="000F1354">
        <w:t>entral el 20 de marzo</w:t>
      </w:r>
      <w:r w:rsidR="002E7718">
        <w:t xml:space="preserve"> del presente año</w:t>
      </w:r>
      <w:r w:rsidR="000F1354">
        <w:t xml:space="preserve">. </w:t>
      </w:r>
    </w:p>
    <w:p w:rsidR="00563625" w:rsidRPr="00043E0A" w:rsidRDefault="00043E0A" w:rsidP="00C77128">
      <w:pPr>
        <w:pStyle w:val="Prrafodelista"/>
        <w:ind w:left="709" w:firstLine="708"/>
        <w:jc w:val="both"/>
      </w:pPr>
      <w:r w:rsidRPr="00043E0A">
        <w:t>Cada miembro tuvo a su cargo 3 a 4 estándares que se presenta a continuación:</w:t>
      </w:r>
    </w:p>
    <w:p w:rsidR="00563625" w:rsidRDefault="00563625" w:rsidP="00555E13">
      <w:pPr>
        <w:pStyle w:val="Prrafodelista"/>
        <w:ind w:left="1068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91"/>
        <w:gridCol w:w="3179"/>
        <w:gridCol w:w="1842"/>
        <w:gridCol w:w="2552"/>
      </w:tblGrid>
      <w:tr w:rsidR="002126BB" w:rsidRPr="002126BB" w:rsidTr="002126B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6BB" w:rsidRPr="002126BB" w:rsidRDefault="002126BB">
            <w:pPr>
              <w:jc w:val="center"/>
              <w:rPr>
                <w:rFonts w:asciiTheme="majorHAnsi" w:hAnsiTheme="majorHAnsi"/>
                <w:b/>
              </w:rPr>
            </w:pPr>
            <w:r w:rsidRPr="002126BB">
              <w:rPr>
                <w:rFonts w:asciiTheme="majorHAnsi" w:hAnsiTheme="majorHAnsi"/>
                <w:b/>
              </w:rPr>
              <w:t>DIMENSIÓN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6BB" w:rsidRPr="002126BB" w:rsidRDefault="002126BB">
            <w:pPr>
              <w:jc w:val="center"/>
              <w:rPr>
                <w:rFonts w:asciiTheme="majorHAnsi" w:hAnsiTheme="majorHAnsi"/>
                <w:b/>
              </w:rPr>
            </w:pPr>
            <w:r w:rsidRPr="002126BB">
              <w:rPr>
                <w:rFonts w:asciiTheme="majorHAnsi" w:hAnsiTheme="majorHAnsi"/>
                <w:b/>
              </w:rPr>
              <w:t>FACTORES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6BB" w:rsidRPr="002126BB" w:rsidRDefault="002126BB">
            <w:pPr>
              <w:jc w:val="center"/>
              <w:rPr>
                <w:rFonts w:asciiTheme="majorHAnsi" w:hAnsiTheme="majorHAnsi"/>
                <w:b/>
              </w:rPr>
            </w:pPr>
            <w:r w:rsidRPr="002126BB">
              <w:rPr>
                <w:rFonts w:asciiTheme="majorHAnsi" w:hAnsiTheme="majorHAnsi"/>
                <w:b/>
              </w:rPr>
              <w:t>ESTÁNDARES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6BB" w:rsidRPr="002126BB" w:rsidRDefault="002126BB">
            <w:pPr>
              <w:jc w:val="center"/>
              <w:rPr>
                <w:rFonts w:asciiTheme="majorHAnsi" w:hAnsiTheme="majorHAnsi"/>
                <w:b/>
              </w:rPr>
            </w:pPr>
            <w:r w:rsidRPr="002126BB">
              <w:rPr>
                <w:rFonts w:asciiTheme="majorHAnsi" w:hAnsiTheme="majorHAnsi"/>
                <w:b/>
              </w:rPr>
              <w:t>DOCENTES – ALUMNOS  Y EGRESADOS</w:t>
            </w:r>
          </w:p>
        </w:tc>
      </w:tr>
      <w:tr w:rsidR="002126BB" w:rsidRPr="002126BB" w:rsidTr="002126BB"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DIMENSIÓN 1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GESTIÓN ESTRATÉGICA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1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PLANIFICACIÓN DEL PROGRAMA DE ESTUDIO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1, 2, 3, 4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E. Ascencio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2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GESTIÓN DEL PERFIL DE EGRESO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5 y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J. Loyola y L. Chihuan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 3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 xml:space="preserve">ASEGURAMIENTO DE LA </w:t>
            </w: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lastRenderedPageBreak/>
              <w:t>CALIDAD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lastRenderedPageBreak/>
              <w:t>7,8  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J. Loyola y L. Chihuan</w:t>
            </w:r>
          </w:p>
        </w:tc>
      </w:tr>
      <w:tr w:rsidR="002126BB" w:rsidRPr="002126BB" w:rsidTr="002126BB"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DIMENSIÓN 2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FORMACIÓN INTEGRAL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4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PROCESO ENSEÑANZA APRENDIZAJE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9, 10, 11, 12 y 13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H. Chávez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5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GESTIÓN DE LOS DOCENTES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14, 15 , 16 y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K. Alfaro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6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SEGUIMIENTO A ESTUDIANTES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18, 19, 20 y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E. Huisa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 7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INVESTIGACIÓN, DESARROLLO TECNOLÓGICO E INNOVACIÓN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22, 23 y 24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 xml:space="preserve">A. Estrada     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 8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RESPONSABILIDAD SOCIAL UNIVERSITARIA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25 y 26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F. Daniel</w:t>
            </w:r>
          </w:p>
        </w:tc>
      </w:tr>
      <w:tr w:rsidR="002126BB" w:rsidRPr="002126BB" w:rsidTr="002126BB"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DIMENSIÓN 3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SOPORTE INSTITUCIONAL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 9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SERVICIOS DE BIENESTAR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 xml:space="preserve">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F. Daniel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10</w:t>
            </w:r>
          </w:p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INFRAESTRUCTURA Y SOPORTE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28, 29, 30 y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hAnsiTheme="majorHAnsi" w:cs="Helvetica"/>
              </w:rPr>
            </w:pPr>
            <w:r w:rsidRPr="002126BB">
              <w:rPr>
                <w:rFonts w:asciiTheme="majorHAnsi" w:hAnsiTheme="majorHAnsi" w:cs="Helvetica"/>
              </w:rPr>
              <w:t>G. Nuñez y C. Acuña</w:t>
            </w:r>
          </w:p>
        </w:tc>
      </w:tr>
      <w:tr w:rsidR="002126BB" w:rsidRPr="002126BB" w:rsidTr="00212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11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RECURSOS HUMANOS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lang w:val="pt-BR"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val="pt-BR" w:eastAsia="es-PE"/>
              </w:rPr>
              <w:t>R. Quiroz e I. Miranda</w:t>
            </w:r>
          </w:p>
        </w:tc>
      </w:tr>
      <w:tr w:rsidR="002126BB" w:rsidRPr="002126BB" w:rsidTr="002126B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DIMENSIÓN 4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RESULTADOS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Factor 12</w:t>
            </w:r>
          </w:p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VERIFICACIÓN DEL PERFIL DE EGRESO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rPr>
                <w:rFonts w:asciiTheme="majorHAnsi" w:eastAsia="Times New Roman" w:hAnsiTheme="majorHAnsi" w:cs="Helvetica"/>
                <w:color w:val="000000"/>
                <w:lang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eastAsia="es-PE"/>
              </w:rPr>
              <w:t>33 y 34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B" w:rsidRPr="002126BB" w:rsidRDefault="002126BB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lang w:val="pt-BR" w:eastAsia="es-PE"/>
              </w:rPr>
            </w:pPr>
            <w:r w:rsidRPr="002126BB">
              <w:rPr>
                <w:rFonts w:asciiTheme="majorHAnsi" w:eastAsia="Times New Roman" w:hAnsiTheme="majorHAnsi" w:cs="Helvetica"/>
                <w:color w:val="000000"/>
                <w:lang w:val="pt-BR" w:eastAsia="es-PE"/>
              </w:rPr>
              <w:t>R. Quiroz e I. Miranda</w:t>
            </w:r>
          </w:p>
        </w:tc>
      </w:tr>
    </w:tbl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RESULTADOS DE LA AUTOEVALUACIÓN</w:t>
      </w:r>
    </w:p>
    <w:p w:rsidR="00A7381E" w:rsidRDefault="00F639E8" w:rsidP="0019311D">
      <w:pPr>
        <w:ind w:left="708" w:firstLine="708"/>
        <w:jc w:val="both"/>
      </w:pPr>
      <w:r>
        <w:t xml:space="preserve">Los miembros del </w:t>
      </w:r>
      <w:r w:rsidR="00A7381E" w:rsidRPr="00A7381E">
        <w:t>Comité de</w:t>
      </w:r>
      <w:r w:rsidR="00A7381E">
        <w:t xml:space="preserve"> Calidad de la Escuela Profesional de </w:t>
      </w:r>
      <w:r>
        <w:t>Biblio</w:t>
      </w:r>
      <w:r w:rsidR="0019311D">
        <w:t>t</w:t>
      </w:r>
      <w:r>
        <w:t xml:space="preserve">ecología y Ciencias de la Información </w:t>
      </w:r>
      <w:r w:rsidR="00A7381E">
        <w:t>ha</w:t>
      </w:r>
      <w:r>
        <w:t xml:space="preserve">n trabajado el </w:t>
      </w:r>
      <w:r w:rsidR="00A7381E">
        <w:t>proceso de autoevaluación de acuerdo con la Escala de Avance del Sineace que a continuación se detalla:</w:t>
      </w:r>
    </w:p>
    <w:p w:rsidR="00A7381E" w:rsidRDefault="00A7381E" w:rsidP="00A7381E">
      <w:pPr>
        <w:ind w:left="993"/>
      </w:pPr>
    </w:p>
    <w:p w:rsidR="001D2C36" w:rsidRDefault="001D2C36" w:rsidP="001D2C36">
      <w:pPr>
        <w:spacing w:after="0" w:line="240" w:lineRule="auto"/>
        <w:ind w:left="992"/>
        <w:jc w:val="center"/>
        <w:rPr>
          <w:b/>
          <w:bCs/>
        </w:rPr>
      </w:pPr>
      <w:r>
        <w:rPr>
          <w:b/>
          <w:bCs/>
        </w:rPr>
        <w:t>Cuadro N.° 1</w:t>
      </w:r>
    </w:p>
    <w:p w:rsidR="00A7381E" w:rsidRDefault="00A7381E" w:rsidP="001D2C36">
      <w:pPr>
        <w:spacing w:after="0" w:line="240" w:lineRule="auto"/>
        <w:ind w:left="992"/>
        <w:jc w:val="center"/>
        <w:rPr>
          <w:b/>
          <w:bCs/>
        </w:rPr>
      </w:pPr>
      <w:r w:rsidRPr="00A7381E">
        <w:rPr>
          <w:b/>
          <w:bCs/>
        </w:rPr>
        <w:t>Escala de Avance en el Proceso de Autoevaluación</w:t>
      </w:r>
    </w:p>
    <w:p w:rsidR="001D2C36" w:rsidRDefault="001D2C36" w:rsidP="001D2C36">
      <w:pPr>
        <w:spacing w:after="0" w:line="240" w:lineRule="auto"/>
        <w:ind w:left="992"/>
        <w:jc w:val="center"/>
      </w:pPr>
    </w:p>
    <w:tbl>
      <w:tblPr>
        <w:tblW w:w="817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9"/>
        <w:gridCol w:w="5386"/>
      </w:tblGrid>
      <w:tr w:rsidR="00A7381E" w:rsidRPr="00A7381E" w:rsidTr="00661503">
        <w:trPr>
          <w:trHeight w:val="54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Pasos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Descripción</w:t>
            </w:r>
          </w:p>
        </w:tc>
      </w:tr>
      <w:tr w:rsidR="00A7381E" w:rsidRPr="00A7381E" w:rsidTr="00F639E8">
        <w:trPr>
          <w:trHeight w:val="74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Inicio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El programa se encuentra revisando el estándar del modelo de acreditación (lectura y análisis). </w:t>
            </w:r>
          </w:p>
        </w:tc>
      </w:tr>
      <w:tr w:rsidR="00A7381E" w:rsidRPr="00A7381E" w:rsidTr="00F639E8">
        <w:trPr>
          <w:trHeight w:val="111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Criterios definidos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revisado el estándar y sus criterios asociados, ha entendido cómo esta información se traduce a las características y formas de trabajo de la institución / programa, y -de ser el caso- ha adicionado sus propios criterios a evaluar.</w:t>
            </w:r>
          </w:p>
        </w:tc>
      </w:tr>
      <w:tr w:rsidR="00A7381E" w:rsidRPr="00A7381E" w:rsidTr="00FF52B1">
        <w:trPr>
          <w:trHeight w:val="69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Lista de acciones establecida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establecido las acciones que evidencien su situación respecto al logro del estándar y los criterios asociados.</w:t>
            </w:r>
          </w:p>
        </w:tc>
      </w:tr>
      <w:tr w:rsidR="00A7381E" w:rsidRPr="00A7381E" w:rsidTr="00661503">
        <w:trPr>
          <w:trHeight w:val="56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Integración de acciones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Cada estándar cuenta con una justificación de cómo las acciones establecidas están orientada al logro del estándar.</w:t>
            </w:r>
          </w:p>
        </w:tc>
      </w:tr>
      <w:tr w:rsidR="00A7381E" w:rsidRPr="00A7381E" w:rsidTr="00661503">
        <w:trPr>
          <w:trHeight w:val="45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lastRenderedPageBreak/>
              <w:t>Avance de acciones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1% y 25%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26% y 50%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51% y 75%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76% y 100% de sus acciones.</w:t>
            </w:r>
          </w:p>
        </w:tc>
      </w:tr>
      <w:tr w:rsidR="00A7381E" w:rsidRPr="00A7381E" w:rsidTr="00661503">
        <w:trPr>
          <w:trHeight w:val="541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Medición de impacto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medido el impacto de la ejecución de las acciones implementadas.</w:t>
            </w:r>
          </w:p>
        </w:tc>
      </w:tr>
      <w:tr w:rsidR="00A7381E" w:rsidRPr="00A7381E" w:rsidTr="00661503">
        <w:trPr>
          <w:trHeight w:val="94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argumentado los logros de la implementación de acciones y ha evidenciado su situación (logro, logro pleno) respecto al estándar del modelo de acreditación.</w:t>
            </w:r>
          </w:p>
        </w:tc>
      </w:tr>
    </w:tbl>
    <w:p w:rsidR="00A7381E" w:rsidRDefault="00A7381E" w:rsidP="00A7381E">
      <w:pPr>
        <w:ind w:left="993"/>
      </w:pPr>
    </w:p>
    <w:p w:rsidR="00A7381E" w:rsidRDefault="00661503" w:rsidP="0019311D">
      <w:pPr>
        <w:ind w:left="708" w:firstLine="708"/>
        <w:jc w:val="both"/>
      </w:pPr>
      <w:r>
        <w:t xml:space="preserve">Los resultados alcanzados mediante las reuniones de trabajo han permitido avanzar </w:t>
      </w:r>
      <w:r w:rsidR="00BB5CC6">
        <w:t>hasta el nivel 3</w:t>
      </w:r>
      <w:r>
        <w:t xml:space="preserve"> en la evaluación de los 34 estándares</w:t>
      </w:r>
      <w:r w:rsidR="001D2C36">
        <w:t xml:space="preserve"> (Cuadro N.° 2)</w:t>
      </w:r>
      <w:r>
        <w:t xml:space="preserve">, es un </w:t>
      </w:r>
      <w:r w:rsidR="001D2C36">
        <w:t>progreso</w:t>
      </w:r>
      <w:r>
        <w:t xml:space="preserve"> que se ha ejecutado con la participación de los miem</w:t>
      </w:r>
      <w:r w:rsidR="001D2C36">
        <w:t>bros del Comité de Calidad. Los resultados de</w:t>
      </w:r>
      <w:r>
        <w:t xml:space="preserve">l trabajo realizado se </w:t>
      </w:r>
      <w:r w:rsidR="001D2C36">
        <w:t>socializarán</w:t>
      </w:r>
      <w:r>
        <w:t xml:space="preserve"> con los docentes, estudiantes, trabajadores, graduados y grupos de interés</w:t>
      </w:r>
      <w:r w:rsidR="001D2C36">
        <w:t xml:space="preserve"> mediante talleres</w:t>
      </w:r>
      <w:r>
        <w:t xml:space="preserve">. </w:t>
      </w:r>
    </w:p>
    <w:p w:rsidR="008772BF" w:rsidRDefault="00BB5CC6" w:rsidP="0019311D">
      <w:pPr>
        <w:ind w:left="708" w:firstLine="708"/>
        <w:jc w:val="both"/>
      </w:pPr>
      <w:r>
        <w:t>Adicionalmente, s</w:t>
      </w:r>
      <w:r w:rsidR="008772BF">
        <w:t xml:space="preserve">e conformó el </w:t>
      </w:r>
      <w:r w:rsidR="00002866">
        <w:t>“</w:t>
      </w:r>
      <w:r w:rsidR="008772BF">
        <w:t>Grupo de Interés</w:t>
      </w:r>
      <w:r w:rsidR="00002866">
        <w:t>”</w:t>
      </w:r>
      <w:r w:rsidR="008772BF">
        <w:t xml:space="preserve"> </w:t>
      </w:r>
      <w:r w:rsidR="00496A41">
        <w:t xml:space="preserve">representado por </w:t>
      </w:r>
      <w:r w:rsidR="00F05977">
        <w:t xml:space="preserve">tres </w:t>
      </w:r>
      <w:r w:rsidR="008772BF">
        <w:t>grupos</w:t>
      </w:r>
      <w:r w:rsidR="00496A41">
        <w:t xml:space="preserve"> a nivel nacional</w:t>
      </w:r>
      <w:r w:rsidR="00C77128">
        <w:t>:</w:t>
      </w:r>
      <w:r w:rsidR="008772BF">
        <w:t xml:space="preserve"> el colegio profesional, </w:t>
      </w:r>
      <w:r w:rsidR="00BA4831">
        <w:t>C</w:t>
      </w:r>
      <w:r w:rsidR="008772BF">
        <w:t xml:space="preserve">olegio de </w:t>
      </w:r>
      <w:r w:rsidR="00BA4831">
        <w:t>B</w:t>
      </w:r>
      <w:r w:rsidR="008772BF">
        <w:t>ibliotecólogos del Perú; instituciones públicas, Biblioteca Nacional del Perú, Archivo General de la Nación, Consejo Nacional de Ciencias Tecnología e Innovación Tecnológica (Concytec), Ministerio de Ed</w:t>
      </w:r>
      <w:r w:rsidR="00BA4831">
        <w:t>ucación y Ministerio de Cultura e</w:t>
      </w:r>
      <w:r w:rsidR="008772BF">
        <w:t xml:space="preserve"> instituciones privadas, Instituto Cultural </w:t>
      </w:r>
      <w:r w:rsidR="00186434">
        <w:t xml:space="preserve">Peruano Norteamericano (ICPNA), con quienes se cuenta con pre convenios. </w:t>
      </w:r>
    </w:p>
    <w:p w:rsidR="005F2813" w:rsidRDefault="005F2813" w:rsidP="001D2C36">
      <w:pPr>
        <w:spacing w:after="0" w:line="240" w:lineRule="auto"/>
        <w:ind w:left="992"/>
        <w:jc w:val="center"/>
        <w:rPr>
          <w:b/>
        </w:rPr>
      </w:pPr>
    </w:p>
    <w:p w:rsidR="001D2C36" w:rsidRDefault="001D2C36" w:rsidP="001D2C36">
      <w:pPr>
        <w:spacing w:after="0" w:line="240" w:lineRule="auto"/>
        <w:ind w:left="992"/>
        <w:jc w:val="center"/>
        <w:rPr>
          <w:b/>
        </w:rPr>
      </w:pPr>
      <w:r w:rsidRPr="001D2C36">
        <w:rPr>
          <w:b/>
        </w:rPr>
        <w:t>Cuadro N.° 2</w:t>
      </w:r>
    </w:p>
    <w:p w:rsidR="001D2C36" w:rsidRDefault="001D2C36" w:rsidP="001D2C36">
      <w:pPr>
        <w:spacing w:after="0" w:line="240" w:lineRule="auto"/>
        <w:ind w:left="992"/>
        <w:jc w:val="center"/>
        <w:rPr>
          <w:b/>
          <w:bCs/>
        </w:rPr>
      </w:pPr>
      <w:r w:rsidRPr="00A7381E">
        <w:rPr>
          <w:b/>
          <w:bCs/>
        </w:rPr>
        <w:t>Avance en el Proceso de Autoevaluación</w:t>
      </w:r>
      <w:r>
        <w:rPr>
          <w:b/>
          <w:bCs/>
        </w:rPr>
        <w:t xml:space="preserve"> de la Escuela Profesional de </w:t>
      </w:r>
      <w:r w:rsidR="00051DB8">
        <w:rPr>
          <w:b/>
          <w:bCs/>
        </w:rPr>
        <w:t>Bibliotecología y Ciencias de la Información</w:t>
      </w:r>
    </w:p>
    <w:p w:rsidR="001D2C36" w:rsidRPr="001D2C36" w:rsidRDefault="001D2C36" w:rsidP="001D2C36">
      <w:pPr>
        <w:spacing w:after="0" w:line="240" w:lineRule="auto"/>
        <w:ind w:left="992"/>
        <w:jc w:val="center"/>
        <w:rPr>
          <w:b/>
        </w:rPr>
      </w:pPr>
    </w:p>
    <w:tbl>
      <w:tblPr>
        <w:tblW w:w="7646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30"/>
        <w:gridCol w:w="1276"/>
      </w:tblGrid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lang w:eastAsia="es-PE"/>
              </w:rPr>
              <w:t>N°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lang w:eastAsia="es-PE"/>
              </w:rPr>
              <w:t>ESTÁNDAR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AVANCE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Propósitos articulados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Participación de los grupos de interés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Revisión periódica y participativa de las políticas y objetivos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Sostenibilidad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Pertinencia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Revisión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Sistema de gestión de la calidad (SGC)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Planes de mejora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Características del 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Enfoque por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Articulación con I+D+i y 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lastRenderedPageBreak/>
              <w:t>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Movilidad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Selección, evaluación, capacitación y perfeccionamiento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Plana docente adecuada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Reconocimiento de las actividades de labor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 de desarrollo académico del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Admisión al programa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Nivelación de ingresantes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Seguimiento al desempeño de los estudiantes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Actividades extracurriculares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Gestión y calidad de la I+D+i realizada por docentes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I+D+i para la obtención del grado y el título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Publicaciones de los resultados de I+D+i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Implementación de políticas ambientales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Bienestar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Equipamiento y uso de la infraestructura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Mantenimiento de la infraestructura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Sistema de información y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Centros de información y referencia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32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Recursos humanos para la gestión del programa de estudios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Logro de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34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Seguimiento a egresados y objetivos educacionales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</w:tr>
      <w:tr w:rsidR="00563625" w:rsidRPr="00563625" w:rsidTr="00661503">
        <w:trPr>
          <w:trHeight w:val="395"/>
        </w:trPr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PUNTAJE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E30A76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>
              <w:rPr>
                <w:rFonts w:eastAsia="Times New Roman" w:cs="Times New Roman"/>
                <w:b/>
                <w:color w:val="000000"/>
                <w:lang w:eastAsia="es-PE"/>
              </w:rPr>
              <w:t>102</w:t>
            </w:r>
          </w:p>
        </w:tc>
      </w:tr>
    </w:tbl>
    <w:p w:rsidR="00C77128" w:rsidRDefault="00C77128" w:rsidP="00C77128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95F18" w:rsidRDefault="00450F99" w:rsidP="00450F99">
      <w:pPr>
        <w:ind w:left="1134"/>
      </w:pPr>
      <w:r w:rsidRPr="00450F99">
        <w:t xml:space="preserve">1. </w:t>
      </w:r>
      <w:r>
        <w:t xml:space="preserve">La Escuela Profesional de </w:t>
      </w:r>
      <w:r w:rsidR="004027DE">
        <w:t>Bibliotecología y Ciencias de la Información</w:t>
      </w:r>
      <w:r>
        <w:t xml:space="preserve"> formalizó su Comité de Calidad para la acreditación nacional con resolución rectoral.</w:t>
      </w:r>
    </w:p>
    <w:p w:rsidR="00450F99" w:rsidRDefault="00450F99" w:rsidP="00450F99">
      <w:pPr>
        <w:ind w:left="1134"/>
        <w:jc w:val="both"/>
      </w:pPr>
      <w:r>
        <w:t xml:space="preserve">2. La UNMSM ha cumplido con informar oficialmente al Sineace del inicio del proceso de autoevaluación con fines de acreditación nacional y se le ha asignado el Código Único de Identificación correspondiente a la Escuela Profesional de </w:t>
      </w:r>
      <w:r w:rsidR="004027DE" w:rsidRPr="004027DE">
        <w:t>Bibliotecología y Ciencias de la Información</w:t>
      </w:r>
      <w:r>
        <w:t>.</w:t>
      </w:r>
    </w:p>
    <w:p w:rsidR="00450F99" w:rsidRDefault="00450F99" w:rsidP="00450F99">
      <w:pPr>
        <w:ind w:left="1134"/>
        <w:jc w:val="both"/>
      </w:pPr>
      <w:r>
        <w:t>3. A nivel</w:t>
      </w:r>
      <w:r w:rsidR="001417B8">
        <w:t xml:space="preserve"> institucional, se ha realizado</w:t>
      </w:r>
      <w:r>
        <w:t xml:space="preserve"> </w:t>
      </w:r>
      <w:r w:rsidR="001417B8">
        <w:t xml:space="preserve">talleres de </w:t>
      </w:r>
      <w:r>
        <w:t>capacitaci</w:t>
      </w:r>
      <w:r w:rsidR="001417B8">
        <w:t>ón</w:t>
      </w:r>
      <w:r>
        <w:t xml:space="preserve"> </w:t>
      </w:r>
      <w:r w:rsidR="001417B8">
        <w:t>a</w:t>
      </w:r>
      <w:r>
        <w:t xml:space="preserve">l </w:t>
      </w:r>
      <w:r w:rsidR="00787BDF">
        <w:t>Comité de Calidad</w:t>
      </w:r>
      <w:r>
        <w:t>.</w:t>
      </w:r>
    </w:p>
    <w:p w:rsidR="00787BDF" w:rsidRDefault="00787BDF" w:rsidP="00450F99">
      <w:pPr>
        <w:ind w:left="1134"/>
        <w:jc w:val="both"/>
      </w:pPr>
      <w:r>
        <w:t xml:space="preserve">4. El Comité de Calidad de la Escuela Profesional de </w:t>
      </w:r>
      <w:r w:rsidR="004027DE">
        <w:t xml:space="preserve">Bibliotecología y Ciencias de la Información </w:t>
      </w:r>
      <w:r>
        <w:t xml:space="preserve">ha establecido su plan de trabajo y está </w:t>
      </w:r>
      <w:r w:rsidR="00F05977">
        <w:t>cumpliendo</w:t>
      </w:r>
      <w:r>
        <w:t xml:space="preserve"> el proceso de autoevaluación de acuerdo con la Escala de Avanza propuesta por el Sineace.</w:t>
      </w:r>
    </w:p>
    <w:p w:rsidR="00787BDF" w:rsidRDefault="00787BDF" w:rsidP="00450F99">
      <w:pPr>
        <w:ind w:left="1134"/>
        <w:jc w:val="both"/>
      </w:pPr>
      <w:r>
        <w:lastRenderedPageBreak/>
        <w:t xml:space="preserve">5. El Comité de Calidad de la Escuela Profesional de </w:t>
      </w:r>
      <w:r w:rsidR="004027DE">
        <w:t xml:space="preserve">Bibliotecología y Ciencias de la Información </w:t>
      </w:r>
      <w:r w:rsidR="007D6227">
        <w:t>participará</w:t>
      </w:r>
      <w:r w:rsidR="00F05977">
        <w:t xml:space="preserve"> </w:t>
      </w:r>
      <w:r w:rsidR="000C384F">
        <w:t>desd</w:t>
      </w:r>
      <w:r w:rsidR="007D6227">
        <w:t>e abril</w:t>
      </w:r>
      <w:r w:rsidR="000C384F">
        <w:t xml:space="preserve"> hasta julio</w:t>
      </w:r>
      <w:r w:rsidR="007D6227">
        <w:t xml:space="preserve"> en seis</w:t>
      </w:r>
      <w:r>
        <w:t xml:space="preserve"> talleres para socializar el proceso de autoevaluación con la comunidad de docentes, estudiantes, graduados, trabajadores y grupos de interés.</w:t>
      </w:r>
    </w:p>
    <w:p w:rsidR="00787BDF" w:rsidRDefault="00787BDF" w:rsidP="00450F99">
      <w:pPr>
        <w:ind w:left="1134"/>
        <w:jc w:val="both"/>
      </w:pPr>
      <w:r>
        <w:t xml:space="preserve">6. El Comité de Calidad de la Escuela Profesional de </w:t>
      </w:r>
      <w:r w:rsidR="004027DE">
        <w:t xml:space="preserve">Bibliotecología y Ciencias de la Información </w:t>
      </w:r>
      <w:r>
        <w:t>se compromete con informar al Sineace de los resultados del proceso de autoevaluación de forma periódica.</w:t>
      </w:r>
    </w:p>
    <w:p w:rsidR="00FE52CC" w:rsidRDefault="00FE52CC" w:rsidP="00450F99">
      <w:pPr>
        <w:ind w:left="1134"/>
        <w:jc w:val="both"/>
      </w:pPr>
      <w:r>
        <w:t xml:space="preserve">7. El Comité de Calidad de la Escuela Profesional de Bibliotecología y Ciencias de la Información ha conformado el Grupo de Interés, a través de un Acta de Comité Interno de Calidad. </w:t>
      </w:r>
    </w:p>
    <w:p w:rsidR="001417B8" w:rsidRPr="00787BDF" w:rsidRDefault="001417B8" w:rsidP="00450F99">
      <w:pPr>
        <w:ind w:left="1134"/>
        <w:jc w:val="both"/>
      </w:pPr>
      <w:r>
        <w:t xml:space="preserve">8.- El Comité de Calidad de la Escuela Profesional de Bibliotecología y Ciencias de la Información ha presentado acciones a mejorar en: plan de estudios, investigación, desarrollo e innovación, responsabilidad social universitaria y docentes. </w:t>
      </w: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4027DE" w:rsidRDefault="001417B8" w:rsidP="00555E13">
      <w:pPr>
        <w:spacing w:after="0" w:line="240" w:lineRule="auto"/>
        <w:jc w:val="center"/>
        <w:rPr>
          <w:b/>
        </w:rPr>
      </w:pPr>
      <w:r>
        <w:rPr>
          <w:b/>
        </w:rPr>
        <w:t>ELIZABETH HUISA VERIA</w:t>
      </w:r>
      <w:r w:rsidR="004027DE">
        <w:rPr>
          <w:b/>
        </w:rPr>
        <w:t xml:space="preserve"> </w:t>
      </w:r>
    </w:p>
    <w:p w:rsidR="00595F18" w:rsidRDefault="001417B8" w:rsidP="00555E13">
      <w:pPr>
        <w:spacing w:after="0" w:line="240" w:lineRule="auto"/>
        <w:jc w:val="center"/>
        <w:rPr>
          <w:b/>
        </w:rPr>
      </w:pPr>
      <w:r>
        <w:rPr>
          <w:b/>
        </w:rPr>
        <w:t xml:space="preserve">RESPONSABLE </w:t>
      </w:r>
      <w:r w:rsidR="00595F18">
        <w:rPr>
          <w:b/>
        </w:rPr>
        <w:t>DEL COMITÉ</w:t>
      </w:r>
      <w:r>
        <w:rPr>
          <w:b/>
        </w:rPr>
        <w:t xml:space="preserve"> DE CALIDAD</w:t>
      </w: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C77128" w:rsidRDefault="00C77128" w:rsidP="00555E13">
      <w:pPr>
        <w:spacing w:after="0" w:line="240" w:lineRule="auto"/>
        <w:jc w:val="center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ANEXOS</w:t>
      </w:r>
    </w:p>
    <w:p w:rsidR="00450F99" w:rsidRDefault="00450F99" w:rsidP="00450F99">
      <w:pPr>
        <w:ind w:left="1134"/>
        <w:jc w:val="both"/>
      </w:pPr>
      <w:r>
        <w:t xml:space="preserve">5.1 </w:t>
      </w:r>
      <w:r w:rsidR="004027DE">
        <w:t xml:space="preserve">Informe de </w:t>
      </w:r>
      <w:r w:rsidR="001417B8">
        <w:t>segundo</w:t>
      </w:r>
      <w:r w:rsidR="004027DE">
        <w:t xml:space="preserve"> avance del proceso de autoevaluación</w:t>
      </w:r>
    </w:p>
    <w:p w:rsidR="004027DE" w:rsidRDefault="00450F99" w:rsidP="00450F99">
      <w:pPr>
        <w:ind w:left="1134"/>
        <w:jc w:val="both"/>
      </w:pPr>
      <w:r>
        <w:t xml:space="preserve">5.2 </w:t>
      </w:r>
      <w:r w:rsidR="004027DE">
        <w:t>Nivel de cumplimiento</w:t>
      </w:r>
    </w:p>
    <w:p w:rsidR="00624A48" w:rsidRDefault="004027DE" w:rsidP="00450F99">
      <w:pPr>
        <w:ind w:left="1134"/>
        <w:jc w:val="both"/>
      </w:pPr>
      <w:r>
        <w:t>5.3</w:t>
      </w:r>
      <w:r>
        <w:tab/>
        <w:t xml:space="preserve"> </w:t>
      </w:r>
      <w:r w:rsidR="00624A48">
        <w:t xml:space="preserve">Matriz de autoevaluación </w:t>
      </w:r>
    </w:p>
    <w:p w:rsidR="001D2C36" w:rsidRDefault="00624A48" w:rsidP="00450F99">
      <w:pPr>
        <w:ind w:left="1134"/>
        <w:jc w:val="both"/>
      </w:pPr>
      <w:r>
        <w:t xml:space="preserve">5.4 </w:t>
      </w:r>
      <w:r w:rsidR="00450F99">
        <w:t>Lista de asistencia de reuniones del Comité de Calidad</w:t>
      </w:r>
    </w:p>
    <w:sectPr w:rsidR="001D2C36" w:rsidSect="00A73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5E" w:rsidRDefault="00A2165E" w:rsidP="007E2D28">
      <w:pPr>
        <w:spacing w:after="0" w:line="240" w:lineRule="auto"/>
      </w:pPr>
      <w:r>
        <w:separator/>
      </w:r>
    </w:p>
  </w:endnote>
  <w:endnote w:type="continuationSeparator" w:id="0">
    <w:p w:rsidR="00A2165E" w:rsidRDefault="00A2165E" w:rsidP="007E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5E" w:rsidRDefault="00A2165E" w:rsidP="007E2D28">
      <w:pPr>
        <w:spacing w:after="0" w:line="240" w:lineRule="auto"/>
      </w:pPr>
      <w:r>
        <w:separator/>
      </w:r>
    </w:p>
  </w:footnote>
  <w:footnote w:type="continuationSeparator" w:id="0">
    <w:p w:rsidR="00A2165E" w:rsidRDefault="00A2165E" w:rsidP="007E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1D28"/>
    <w:multiLevelType w:val="multilevel"/>
    <w:tmpl w:val="0F127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28"/>
    <w:rsid w:val="00002866"/>
    <w:rsid w:val="00043E0A"/>
    <w:rsid w:val="00051DB8"/>
    <w:rsid w:val="00075F2F"/>
    <w:rsid w:val="00086FA0"/>
    <w:rsid w:val="00096E08"/>
    <w:rsid w:val="000C384F"/>
    <w:rsid w:val="000D0D86"/>
    <w:rsid w:val="000F1354"/>
    <w:rsid w:val="00100F16"/>
    <w:rsid w:val="0010341C"/>
    <w:rsid w:val="00122006"/>
    <w:rsid w:val="00136D0C"/>
    <w:rsid w:val="001417B8"/>
    <w:rsid w:val="00153F1B"/>
    <w:rsid w:val="00163CEC"/>
    <w:rsid w:val="00171E99"/>
    <w:rsid w:val="001812E1"/>
    <w:rsid w:val="00186434"/>
    <w:rsid w:val="0019311D"/>
    <w:rsid w:val="001B48DD"/>
    <w:rsid w:val="001D2C36"/>
    <w:rsid w:val="001E32A4"/>
    <w:rsid w:val="001F606B"/>
    <w:rsid w:val="002126BB"/>
    <w:rsid w:val="002632F5"/>
    <w:rsid w:val="002701B2"/>
    <w:rsid w:val="0029603E"/>
    <w:rsid w:val="002A24DD"/>
    <w:rsid w:val="002E3CDE"/>
    <w:rsid w:val="002E3E5B"/>
    <w:rsid w:val="002E7718"/>
    <w:rsid w:val="0031310C"/>
    <w:rsid w:val="00325AC0"/>
    <w:rsid w:val="003E471C"/>
    <w:rsid w:val="004027DE"/>
    <w:rsid w:val="004125C6"/>
    <w:rsid w:val="00414015"/>
    <w:rsid w:val="00450F99"/>
    <w:rsid w:val="0045503E"/>
    <w:rsid w:val="00496A41"/>
    <w:rsid w:val="004C6C2C"/>
    <w:rsid w:val="00505A38"/>
    <w:rsid w:val="00517C00"/>
    <w:rsid w:val="0052110D"/>
    <w:rsid w:val="00555E13"/>
    <w:rsid w:val="00563625"/>
    <w:rsid w:val="00575714"/>
    <w:rsid w:val="00582C9C"/>
    <w:rsid w:val="00595F18"/>
    <w:rsid w:val="005A34F3"/>
    <w:rsid w:val="005B2E78"/>
    <w:rsid w:val="005F2813"/>
    <w:rsid w:val="00624A48"/>
    <w:rsid w:val="00652707"/>
    <w:rsid w:val="00661503"/>
    <w:rsid w:val="006975DB"/>
    <w:rsid w:val="006E41EF"/>
    <w:rsid w:val="006E4536"/>
    <w:rsid w:val="00724787"/>
    <w:rsid w:val="007466A1"/>
    <w:rsid w:val="0075759E"/>
    <w:rsid w:val="00767FE6"/>
    <w:rsid w:val="00787BDF"/>
    <w:rsid w:val="00791C87"/>
    <w:rsid w:val="007D06C5"/>
    <w:rsid w:val="007D6227"/>
    <w:rsid w:val="007E2D28"/>
    <w:rsid w:val="007E4F44"/>
    <w:rsid w:val="00814D7C"/>
    <w:rsid w:val="00826406"/>
    <w:rsid w:val="008772BF"/>
    <w:rsid w:val="008A07EA"/>
    <w:rsid w:val="008A3DE0"/>
    <w:rsid w:val="008C37E9"/>
    <w:rsid w:val="008F71DF"/>
    <w:rsid w:val="009075CF"/>
    <w:rsid w:val="0094352A"/>
    <w:rsid w:val="009A0FAF"/>
    <w:rsid w:val="009D22F9"/>
    <w:rsid w:val="009E2AD6"/>
    <w:rsid w:val="00A03D6E"/>
    <w:rsid w:val="00A2165E"/>
    <w:rsid w:val="00A2560B"/>
    <w:rsid w:val="00A43284"/>
    <w:rsid w:val="00A463B9"/>
    <w:rsid w:val="00A6032B"/>
    <w:rsid w:val="00A7381E"/>
    <w:rsid w:val="00AE732D"/>
    <w:rsid w:val="00B3177C"/>
    <w:rsid w:val="00B85F1B"/>
    <w:rsid w:val="00BA4831"/>
    <w:rsid w:val="00BB3CBB"/>
    <w:rsid w:val="00BB5CC6"/>
    <w:rsid w:val="00BE7F9C"/>
    <w:rsid w:val="00BF15B9"/>
    <w:rsid w:val="00BF19A9"/>
    <w:rsid w:val="00C117C0"/>
    <w:rsid w:val="00C53175"/>
    <w:rsid w:val="00C77128"/>
    <w:rsid w:val="00D56AA1"/>
    <w:rsid w:val="00D732AB"/>
    <w:rsid w:val="00DB764C"/>
    <w:rsid w:val="00E233DD"/>
    <w:rsid w:val="00E26FCD"/>
    <w:rsid w:val="00E30A76"/>
    <w:rsid w:val="00E7101F"/>
    <w:rsid w:val="00ED22D0"/>
    <w:rsid w:val="00F05977"/>
    <w:rsid w:val="00F21E46"/>
    <w:rsid w:val="00F4055F"/>
    <w:rsid w:val="00F60B99"/>
    <w:rsid w:val="00F639E8"/>
    <w:rsid w:val="00F94E50"/>
    <w:rsid w:val="00FA1E88"/>
    <w:rsid w:val="00FA40CD"/>
    <w:rsid w:val="00FD6598"/>
    <w:rsid w:val="00FE52CC"/>
    <w:rsid w:val="00FE69AB"/>
    <w:rsid w:val="00FF038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FCCF49-662F-4835-AC50-0B9A6EE4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5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5A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4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George Munguía Becerra</dc:creator>
  <cp:lastModifiedBy>Docente</cp:lastModifiedBy>
  <cp:revision>2</cp:revision>
  <cp:lastPrinted>2018-04-12T14:47:00Z</cp:lastPrinted>
  <dcterms:created xsi:type="dcterms:W3CDTF">2018-04-12T14:48:00Z</dcterms:created>
  <dcterms:modified xsi:type="dcterms:W3CDTF">2018-04-12T14:48:00Z</dcterms:modified>
</cp:coreProperties>
</file>